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1082DA" w14:textId="46C12CA8" w:rsidR="002832E1" w:rsidRPr="00AE3A2C" w:rsidRDefault="002832E1" w:rsidP="002832E1">
      <w:pPr>
        <w:pStyle w:val="Header"/>
        <w:rPr>
          <w:lang w:val="en-GB"/>
        </w:rPr>
      </w:pPr>
      <w:r w:rsidRPr="00AE3A2C">
        <w:rPr>
          <w:lang w:val="en-GB"/>
        </w:rPr>
        <w:t>3GPP TSG-RAN WG2 Meeting #107</w:t>
      </w:r>
      <w:r w:rsidRPr="00AE3A2C">
        <w:rPr>
          <w:lang w:val="en-GB"/>
        </w:rPr>
        <w:tab/>
        <w:t>R2-19</w:t>
      </w:r>
      <w:r w:rsidR="00E80778">
        <w:rPr>
          <w:lang w:val="en-GB"/>
        </w:rPr>
        <w:t>11125</w:t>
      </w:r>
    </w:p>
    <w:p w14:paraId="0C78C602" w14:textId="1050E1EB" w:rsidR="002832E1" w:rsidRPr="00AE3A2C" w:rsidRDefault="002832E1" w:rsidP="002832E1">
      <w:pPr>
        <w:pStyle w:val="Header"/>
        <w:rPr>
          <w:lang w:val="en-GB"/>
        </w:rPr>
      </w:pPr>
      <w:r w:rsidRPr="00AE3A2C">
        <w:rPr>
          <w:lang w:val="en-GB"/>
        </w:rPr>
        <w:t>Prague, Czech Republic,</w:t>
      </w:r>
      <w:r>
        <w:rPr>
          <w:lang w:val="en-GB"/>
        </w:rPr>
        <w:t xml:space="preserve"> </w:t>
      </w:r>
      <w:r w:rsidRPr="00AE3A2C">
        <w:rPr>
          <w:lang w:val="en-GB"/>
        </w:rPr>
        <w:t>26th - 30th August 2019</w:t>
      </w:r>
    </w:p>
    <w:p w14:paraId="6F5560C2" w14:textId="77777777" w:rsidR="00EE2818" w:rsidRPr="00611EF5" w:rsidRDefault="00EE2818" w:rsidP="00EE2818">
      <w:pPr>
        <w:pStyle w:val="CRCoverPage"/>
        <w:outlineLvl w:val="0"/>
        <w:rPr>
          <w:b/>
          <w:noProof/>
          <w:sz w:val="24"/>
          <w:lang w:eastAsia="ja-JP"/>
        </w:rPr>
      </w:pPr>
    </w:p>
    <w:p w14:paraId="396DF082" w14:textId="06ECE694" w:rsidR="00EE2818" w:rsidRPr="00611EF5" w:rsidRDefault="00EE2818" w:rsidP="00EE2818">
      <w:pPr>
        <w:pStyle w:val="CRCoverPage"/>
        <w:ind w:left="1988" w:hanging="1988"/>
        <w:rPr>
          <w:b/>
          <w:noProof/>
          <w:sz w:val="24"/>
        </w:rPr>
      </w:pPr>
      <w:r w:rsidRPr="00611EF5">
        <w:rPr>
          <w:b/>
          <w:noProof/>
          <w:sz w:val="24"/>
        </w:rPr>
        <w:t>Agenda Item:</w:t>
      </w:r>
      <w:r w:rsidRPr="00611EF5">
        <w:rPr>
          <w:b/>
          <w:noProof/>
          <w:sz w:val="24"/>
        </w:rPr>
        <w:tab/>
      </w:r>
      <w:r w:rsidR="00AB6525" w:rsidRPr="00611810">
        <w:rPr>
          <w:b/>
          <w:noProof/>
          <w:sz w:val="24"/>
        </w:rPr>
        <w:t>11.</w:t>
      </w:r>
      <w:r w:rsidR="00D97955" w:rsidRPr="00611810">
        <w:rPr>
          <w:b/>
          <w:noProof/>
          <w:sz w:val="24"/>
        </w:rPr>
        <w:t>4.2</w:t>
      </w:r>
    </w:p>
    <w:p w14:paraId="49B072C8" w14:textId="77777777"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1D712AB2" w:rsidR="00EE2818" w:rsidRPr="00C93A3C" w:rsidRDefault="00EE2818" w:rsidP="00EE2818">
      <w:pPr>
        <w:pStyle w:val="CRCoverPage"/>
        <w:ind w:left="1988" w:hanging="1988"/>
        <w:rPr>
          <w:b/>
          <w:noProof/>
          <w:sz w:val="24"/>
        </w:rPr>
      </w:pPr>
      <w:r>
        <w:rPr>
          <w:b/>
          <w:noProof/>
          <w:sz w:val="24"/>
        </w:rPr>
        <w:t>Title:</w:t>
      </w:r>
      <w:r>
        <w:rPr>
          <w:b/>
          <w:noProof/>
          <w:sz w:val="24"/>
        </w:rPr>
        <w:tab/>
      </w:r>
      <w:r w:rsidR="006A335D">
        <w:rPr>
          <w:b/>
          <w:noProof/>
          <w:sz w:val="24"/>
        </w:rPr>
        <w:t>On</w:t>
      </w:r>
      <w:r w:rsidR="00D97955">
        <w:rPr>
          <w:b/>
          <w:noProof/>
          <w:sz w:val="24"/>
        </w:rPr>
        <w:t xml:space="preserve"> SL </w:t>
      </w:r>
      <w:r w:rsidR="006A335D">
        <w:rPr>
          <w:b/>
          <w:noProof/>
          <w:sz w:val="24"/>
        </w:rPr>
        <w:t>HARQ</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2ABF8B48" w:rsidR="00EE2818" w:rsidRDefault="00EE2818" w:rsidP="00801CCC">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 xml:space="preserve"> Introduction</w:t>
      </w:r>
    </w:p>
    <w:p w14:paraId="25055F1D" w14:textId="77777777" w:rsidR="003B5ABA" w:rsidRPr="006C1623" w:rsidRDefault="009D239C" w:rsidP="00D53224">
      <w:pPr>
        <w:rPr>
          <w:rFonts w:eastAsia="Malgun Gothic" w:cs="Arial"/>
          <w:lang w:val="en-US" w:eastAsia="ko-KR"/>
        </w:rPr>
      </w:pPr>
      <w:r w:rsidRPr="006C1623">
        <w:rPr>
          <w:rFonts w:eastAsia="Malgun Gothic" w:cs="Arial"/>
          <w:lang w:val="en-US" w:eastAsia="ko-KR"/>
        </w:rPr>
        <w:t xml:space="preserve">In this paper, </w:t>
      </w:r>
      <w:r w:rsidR="006020FD" w:rsidRPr="006C1623">
        <w:rPr>
          <w:rFonts w:eastAsia="Malgun Gothic" w:cs="Arial"/>
          <w:lang w:val="en-US" w:eastAsia="ko-KR"/>
        </w:rPr>
        <w:t xml:space="preserve">we discuss </w:t>
      </w:r>
      <w:r w:rsidR="003B5ABA" w:rsidRPr="006C1623">
        <w:rPr>
          <w:rFonts w:eastAsia="Malgun Gothic" w:cs="Arial"/>
          <w:lang w:val="en-US" w:eastAsia="ko-KR"/>
        </w:rPr>
        <w:t>two HARQ issues:</w:t>
      </w:r>
    </w:p>
    <w:p w14:paraId="302AD5A4" w14:textId="77777777" w:rsidR="003B5ABA" w:rsidRPr="006C1623" w:rsidRDefault="003B5ABA" w:rsidP="003B5ABA">
      <w:pPr>
        <w:pStyle w:val="ListParagraph"/>
        <w:numPr>
          <w:ilvl w:val="0"/>
          <w:numId w:val="16"/>
        </w:numPr>
        <w:rPr>
          <w:rFonts w:ascii="Arial" w:eastAsia="Malgun Gothic" w:hAnsi="Arial" w:cs="Arial"/>
          <w:lang w:val="en-US" w:eastAsia="ko-KR"/>
        </w:rPr>
      </w:pPr>
      <w:r w:rsidRPr="006C1623">
        <w:rPr>
          <w:rFonts w:ascii="Arial" w:eastAsia="Malgun Gothic" w:hAnsi="Arial" w:cs="Arial"/>
          <w:lang w:val="en-US" w:eastAsia="ko-KR"/>
        </w:rPr>
        <w:t xml:space="preserve">How UE acquire </w:t>
      </w:r>
      <w:r w:rsidR="006020FD" w:rsidRPr="006C1623">
        <w:rPr>
          <w:rFonts w:ascii="Arial" w:eastAsia="Malgun Gothic" w:hAnsi="Arial" w:cs="Arial"/>
          <w:lang w:val="en-US" w:eastAsia="ko-KR"/>
        </w:rPr>
        <w:t>SL HARQ configuration</w:t>
      </w:r>
    </w:p>
    <w:p w14:paraId="4459CE07" w14:textId="5E42CDB0" w:rsidR="00CC4432" w:rsidRPr="006C1623" w:rsidRDefault="003B5ABA" w:rsidP="0063047B">
      <w:pPr>
        <w:pStyle w:val="ListParagraph"/>
        <w:numPr>
          <w:ilvl w:val="0"/>
          <w:numId w:val="16"/>
        </w:numPr>
        <w:rPr>
          <w:rFonts w:ascii="Arial" w:eastAsia="Malgun Gothic" w:hAnsi="Arial" w:cs="Arial"/>
          <w:lang w:val="en-US" w:eastAsia="ko-KR"/>
        </w:rPr>
      </w:pPr>
      <w:r w:rsidRPr="006C1623">
        <w:rPr>
          <w:rFonts w:ascii="Arial" w:eastAsia="Malgun Gothic" w:hAnsi="Arial" w:cs="Arial"/>
          <w:lang w:val="en-US" w:eastAsia="ko-KR"/>
        </w:rPr>
        <w:t>The impact of supporting mixed resource allocation mode to HARQ modelling/operation</w:t>
      </w:r>
    </w:p>
    <w:p w14:paraId="625A5458" w14:textId="228C6166" w:rsidR="00861035" w:rsidRDefault="00861035" w:rsidP="00801CCC">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 </w:t>
      </w:r>
      <w:r w:rsidRPr="00861035">
        <w:rPr>
          <w:rFonts w:ascii="Arial" w:eastAsia="Malgun Gothic" w:hAnsi="Arial" w:cs="Times New Roman"/>
          <w:color w:val="auto"/>
          <w:sz w:val="36"/>
          <w:szCs w:val="20"/>
          <w:lang w:val="en-US" w:eastAsia="ko-KR"/>
        </w:rPr>
        <w:t>Discussion</w:t>
      </w:r>
    </w:p>
    <w:p w14:paraId="3DCE784F" w14:textId="77777777" w:rsidR="00AB5CBE" w:rsidRDefault="00AB5CBE" w:rsidP="00937FDA">
      <w:pPr>
        <w:pStyle w:val="CRCoverPage"/>
        <w:spacing w:before="120"/>
        <w:jc w:val="both"/>
        <w:rPr>
          <w:rFonts w:eastAsia="Malgun Gothic"/>
          <w:b/>
          <w:lang w:val="en-US" w:eastAsia="ko-KR"/>
        </w:rPr>
      </w:pPr>
    </w:p>
    <w:p w14:paraId="36BA6DDA" w14:textId="77777777" w:rsidR="00AF185B" w:rsidRDefault="00AF185B" w:rsidP="00AF185B">
      <w:pPr>
        <w:pStyle w:val="Heading2"/>
        <w:numPr>
          <w:ilvl w:val="1"/>
          <w:numId w:val="3"/>
        </w:numPr>
        <w:ind w:left="0" w:firstLine="0"/>
        <w:rPr>
          <w:rFonts w:eastAsia="Malgun Gothic"/>
          <w:lang w:val="en-US" w:eastAsia="ko-KR"/>
        </w:rPr>
      </w:pPr>
      <w:r>
        <w:rPr>
          <w:rFonts w:eastAsia="Malgun Gothic"/>
          <w:lang w:val="en-US" w:eastAsia="ko-KR"/>
        </w:rPr>
        <w:t>Determination of HARQ configuration</w:t>
      </w:r>
    </w:p>
    <w:p w14:paraId="29152335" w14:textId="77777777" w:rsidR="00AF185B" w:rsidRDefault="00AF185B" w:rsidP="00AF185B">
      <w:pPr>
        <w:rPr>
          <w:rFonts w:eastAsia="Malgun Gothic"/>
          <w:lang w:val="en-US" w:eastAsia="ko-KR"/>
        </w:rPr>
      </w:pPr>
      <w:r>
        <w:rPr>
          <w:rFonts w:eastAsia="Malgun Gothic"/>
          <w:lang w:val="en-US" w:eastAsia="ko-KR"/>
        </w:rPr>
        <w:t>In addition to legacy HARQ configuration such as the selection of MCS level and number of PRB for TB transmission, RAN1 specifies several HARQ feedback configurations as listed below:</w:t>
      </w:r>
    </w:p>
    <w:p w14:paraId="2AF46805" w14:textId="77777777" w:rsidR="00AF185B" w:rsidRPr="00CD2132" w:rsidRDefault="00AF185B" w:rsidP="00AF185B">
      <w:pPr>
        <w:pStyle w:val="ListParagraph"/>
        <w:numPr>
          <w:ilvl w:val="0"/>
          <w:numId w:val="13"/>
        </w:numPr>
        <w:rPr>
          <w:rFonts w:ascii="Arial" w:eastAsia="Malgun Gothic" w:hAnsi="Arial" w:cs="Arial"/>
          <w:lang w:val="en-US" w:eastAsia="ko-KR"/>
        </w:rPr>
      </w:pPr>
      <w:r w:rsidRPr="00CD2132">
        <w:rPr>
          <w:rFonts w:ascii="Arial" w:eastAsia="Malgun Gothic" w:hAnsi="Arial" w:cs="Arial"/>
          <w:lang w:val="en-US" w:eastAsia="ko-KR"/>
        </w:rPr>
        <w:t>Enable or disable HARQ feedback</w:t>
      </w:r>
    </w:p>
    <w:p w14:paraId="7D475164" w14:textId="77777777" w:rsidR="00AF185B" w:rsidRPr="00CD2132" w:rsidRDefault="00AF185B" w:rsidP="00AF185B">
      <w:pPr>
        <w:pStyle w:val="ListParagraph"/>
        <w:numPr>
          <w:ilvl w:val="1"/>
          <w:numId w:val="13"/>
        </w:numPr>
        <w:rPr>
          <w:rFonts w:ascii="Arial" w:eastAsia="Malgun Gothic" w:hAnsi="Arial" w:cs="Arial"/>
          <w:lang w:val="en-US" w:eastAsia="ko-KR"/>
        </w:rPr>
      </w:pPr>
      <w:r w:rsidRPr="00CD2132">
        <w:rPr>
          <w:rFonts w:ascii="Arial" w:eastAsia="Malgun Gothic" w:hAnsi="Arial" w:cs="Arial"/>
          <w:lang w:val="en-US" w:eastAsia="ko-KR"/>
        </w:rPr>
        <w:t>For broadcast, there is no HARQ feedback</w:t>
      </w:r>
    </w:p>
    <w:p w14:paraId="340A77C5" w14:textId="77777777" w:rsidR="00AF185B" w:rsidRPr="00CD2132" w:rsidRDefault="00AF185B" w:rsidP="00AF185B">
      <w:pPr>
        <w:pStyle w:val="ListParagraph"/>
        <w:numPr>
          <w:ilvl w:val="1"/>
          <w:numId w:val="13"/>
        </w:numPr>
        <w:rPr>
          <w:rFonts w:ascii="Arial" w:eastAsia="Malgun Gothic" w:hAnsi="Arial" w:cs="Arial"/>
          <w:lang w:val="en-US" w:eastAsia="ko-KR"/>
        </w:rPr>
      </w:pPr>
      <w:r w:rsidRPr="00CD2132">
        <w:rPr>
          <w:rFonts w:ascii="Arial" w:eastAsia="Malgun Gothic" w:hAnsi="Arial" w:cs="Arial"/>
          <w:lang w:val="en-US" w:eastAsia="ko-KR"/>
        </w:rPr>
        <w:t>For groupcast or unicast, HARQ feedback can be enabled or disabled</w:t>
      </w:r>
    </w:p>
    <w:p w14:paraId="10A17F96" w14:textId="77777777" w:rsidR="00AF185B" w:rsidRPr="00CD2132" w:rsidRDefault="00AF185B" w:rsidP="00AF185B">
      <w:pPr>
        <w:pStyle w:val="ListParagraph"/>
        <w:numPr>
          <w:ilvl w:val="0"/>
          <w:numId w:val="13"/>
        </w:numPr>
        <w:rPr>
          <w:rFonts w:ascii="Arial" w:eastAsia="Malgun Gothic" w:hAnsi="Arial" w:cs="Arial"/>
          <w:lang w:val="en-US" w:eastAsia="ko-KR"/>
        </w:rPr>
      </w:pPr>
      <w:r w:rsidRPr="00CD2132">
        <w:rPr>
          <w:rFonts w:ascii="Arial" w:eastAsia="Malgun Gothic" w:hAnsi="Arial" w:cs="Arial"/>
          <w:lang w:val="en-US" w:eastAsia="ko-KR"/>
        </w:rPr>
        <w:t xml:space="preserve">Two HARQ feedback mode for groupcast, i.e., </w:t>
      </w:r>
    </w:p>
    <w:p w14:paraId="1EA847C1" w14:textId="77777777" w:rsidR="00AF185B" w:rsidRPr="00CD2132" w:rsidRDefault="00AF185B" w:rsidP="00AF185B">
      <w:pPr>
        <w:pStyle w:val="ListParagraph"/>
        <w:numPr>
          <w:ilvl w:val="1"/>
          <w:numId w:val="13"/>
        </w:numPr>
        <w:rPr>
          <w:rFonts w:ascii="Arial" w:eastAsia="Malgun Gothic" w:hAnsi="Arial" w:cs="Arial"/>
          <w:lang w:val="en-US" w:eastAsia="ko-KR"/>
        </w:rPr>
      </w:pPr>
      <w:r w:rsidRPr="00CD2132">
        <w:rPr>
          <w:rFonts w:ascii="Arial" w:eastAsia="Malgun Gothic" w:hAnsi="Arial" w:cs="Arial"/>
          <w:lang w:val="en-US" w:eastAsia="ko-KR"/>
        </w:rPr>
        <w:t>Option 1: Receiver UE transmits only HARQ NACK</w:t>
      </w:r>
    </w:p>
    <w:p w14:paraId="38D57BAC" w14:textId="77777777" w:rsidR="00AF185B" w:rsidRPr="00CD2132" w:rsidRDefault="00AF185B" w:rsidP="00AF185B">
      <w:pPr>
        <w:pStyle w:val="ListParagraph"/>
        <w:numPr>
          <w:ilvl w:val="1"/>
          <w:numId w:val="13"/>
        </w:numPr>
        <w:rPr>
          <w:rFonts w:ascii="Arial" w:eastAsia="Malgun Gothic" w:hAnsi="Arial" w:cs="Arial"/>
          <w:lang w:val="en-US" w:eastAsia="ko-KR"/>
        </w:rPr>
      </w:pPr>
      <w:r w:rsidRPr="00CD2132">
        <w:rPr>
          <w:rFonts w:ascii="Arial" w:eastAsia="Malgun Gothic" w:hAnsi="Arial" w:cs="Arial"/>
          <w:lang w:val="en-US" w:eastAsia="ko-KR"/>
        </w:rPr>
        <w:t>Option 2: Receiver UE transmits only HARQ NACK</w:t>
      </w:r>
    </w:p>
    <w:p w14:paraId="70F6570A" w14:textId="77777777" w:rsidR="00AF185B" w:rsidRPr="00CD2132" w:rsidRDefault="00AF185B" w:rsidP="00AF185B">
      <w:pPr>
        <w:pStyle w:val="ListParagraph"/>
        <w:numPr>
          <w:ilvl w:val="2"/>
          <w:numId w:val="13"/>
        </w:numPr>
        <w:rPr>
          <w:rFonts w:ascii="Arial" w:eastAsia="Malgun Gothic" w:hAnsi="Arial" w:cs="Arial"/>
          <w:lang w:val="en-US" w:eastAsia="ko-KR"/>
        </w:rPr>
      </w:pPr>
      <w:r w:rsidRPr="00CD2132">
        <w:rPr>
          <w:rFonts w:ascii="Arial" w:eastAsia="Malgun Gothic" w:hAnsi="Arial" w:cs="Arial"/>
          <w:lang w:val="en-US" w:eastAsia="ko-KR"/>
        </w:rPr>
        <w:t>For option 2, each receiver UE may have distinct HARQ feedback channel</w:t>
      </w:r>
    </w:p>
    <w:p w14:paraId="35760781" w14:textId="77777777" w:rsidR="00AF185B" w:rsidRPr="00CD2132" w:rsidRDefault="00AF185B" w:rsidP="00AF185B">
      <w:pPr>
        <w:pStyle w:val="ListParagraph"/>
        <w:numPr>
          <w:ilvl w:val="0"/>
          <w:numId w:val="13"/>
        </w:numPr>
        <w:rPr>
          <w:rFonts w:ascii="Arial" w:eastAsia="Malgun Gothic" w:hAnsi="Arial" w:cs="Arial"/>
          <w:lang w:val="en-US" w:eastAsia="ko-KR"/>
        </w:rPr>
      </w:pPr>
      <w:r w:rsidRPr="00CD2132">
        <w:rPr>
          <w:rFonts w:ascii="Arial" w:eastAsia="Malgun Gothic" w:hAnsi="Arial" w:cs="Arial"/>
          <w:lang w:val="en-US" w:eastAsia="ko-KR"/>
        </w:rPr>
        <w:t>Communication range: if a receiver UE is out of the communication range, then the receiver UE is not required to send HARQ feedback.</w:t>
      </w:r>
    </w:p>
    <w:p w14:paraId="0C0AB6DC" w14:textId="77777777" w:rsidR="00AF185B" w:rsidRDefault="00AF185B" w:rsidP="00AF185B">
      <w:pPr>
        <w:rPr>
          <w:rFonts w:eastAsia="Malgun Gothic"/>
          <w:lang w:val="en-US" w:eastAsia="ko-KR"/>
        </w:rPr>
      </w:pPr>
      <w:r>
        <w:rPr>
          <w:rFonts w:eastAsia="Malgun Gothic"/>
          <w:lang w:val="en-US" w:eastAsia="ko-KR"/>
        </w:rPr>
        <w:t xml:space="preserve">Since HARQ configuration indeed impacts the QoS performance, when performing MAC PDU multiplexing by SL LCP restriction, UE should further take the impact of HARQ configuration into consideration. For example, given the size of PSSCH and HARQ configuration, the coverage and block error rate is already determined, and therefore UE should not multiplex the traffic of a SLRB into the MAC PDU if range requirement cannot be satisfied.  </w:t>
      </w:r>
    </w:p>
    <w:p w14:paraId="1215C4FB" w14:textId="77777777" w:rsidR="00AF185B" w:rsidRDefault="00AF185B" w:rsidP="00AF185B">
      <w:pPr>
        <w:rPr>
          <w:rFonts w:eastAsia="Malgun Gothic"/>
          <w:lang w:val="en-US" w:eastAsia="ko-KR"/>
        </w:rPr>
      </w:pPr>
    </w:p>
    <w:p w14:paraId="6832875B" w14:textId="77777777" w:rsidR="00AF185B" w:rsidRPr="00D315F4" w:rsidRDefault="00AF185B" w:rsidP="00AF185B">
      <w:pPr>
        <w:rPr>
          <w:rFonts w:eastAsia="Malgun Gothic"/>
          <w:lang w:val="en-US" w:eastAsia="ko-KR"/>
        </w:rPr>
      </w:pPr>
      <w:r>
        <w:rPr>
          <w:rFonts w:eastAsia="Malgun Gothic"/>
          <w:lang w:val="en-US" w:eastAsia="ko-KR"/>
        </w:rPr>
        <w:t>For a RRC connected UE, regardless of whether the UE is configured in mode 1 and/or mode 2, we think it is good for NW to control the HARQ configuration.</w:t>
      </w:r>
    </w:p>
    <w:p w14:paraId="757F9468" w14:textId="77777777" w:rsidR="00AF185B" w:rsidRDefault="00AF185B" w:rsidP="00AF185B">
      <w:pPr>
        <w:rPr>
          <w:rFonts w:eastAsia="Malgun Gothic"/>
          <w:b/>
          <w:lang w:val="en-US" w:eastAsia="ko-KR"/>
        </w:rPr>
      </w:pPr>
    </w:p>
    <w:p w14:paraId="3A6D5EA1" w14:textId="7C7D68E2" w:rsidR="00AF185B" w:rsidRDefault="00AF185B" w:rsidP="00AF185B">
      <w:pPr>
        <w:rPr>
          <w:rFonts w:eastAsia="Malgun Gothic"/>
          <w:b/>
          <w:lang w:val="en-US" w:eastAsia="ko-KR"/>
        </w:rPr>
      </w:pPr>
      <w:r>
        <w:rPr>
          <w:rFonts w:eastAsia="Malgun Gothic"/>
          <w:b/>
          <w:lang w:val="en-US" w:eastAsia="ko-KR"/>
        </w:rPr>
        <w:t xml:space="preserve">Proposal </w:t>
      </w:r>
      <w:r w:rsidR="00A80C45">
        <w:rPr>
          <w:rFonts w:eastAsia="Malgun Gothic"/>
          <w:b/>
          <w:lang w:val="en-US" w:eastAsia="ko-KR"/>
        </w:rPr>
        <w:t>1</w:t>
      </w:r>
      <w:r>
        <w:rPr>
          <w:rFonts w:eastAsia="Malgun Gothic"/>
          <w:b/>
          <w:lang w:val="en-US" w:eastAsia="ko-KR"/>
        </w:rPr>
        <w:t>: For a RRC connected UE, HARQ configuration is controlled by the network (e.g. via dedicated signaling) regardless of the resource allocation mode.</w:t>
      </w:r>
    </w:p>
    <w:p w14:paraId="10D42247" w14:textId="77777777" w:rsidR="00AF185B" w:rsidRDefault="00AF185B" w:rsidP="00AF185B">
      <w:pPr>
        <w:rPr>
          <w:rFonts w:eastAsia="Malgun Gothic"/>
          <w:b/>
          <w:lang w:val="en-US" w:eastAsia="ko-KR"/>
        </w:rPr>
      </w:pPr>
    </w:p>
    <w:p w14:paraId="3533C4D3" w14:textId="3D6656A5" w:rsidR="00AF185B" w:rsidRPr="00D9387E" w:rsidRDefault="006A65DA" w:rsidP="00AF185B">
      <w:pPr>
        <w:rPr>
          <w:rFonts w:eastAsia="Malgun Gothic"/>
          <w:lang w:val="en-US" w:eastAsia="ko-KR"/>
        </w:rPr>
      </w:pPr>
      <w:r>
        <w:rPr>
          <w:rFonts w:eastAsia="Malgun Gothic"/>
          <w:lang w:val="en-US" w:eastAsia="ko-KR"/>
        </w:rPr>
        <w:lastRenderedPageBreak/>
        <w:t>In contrast</w:t>
      </w:r>
      <w:r w:rsidR="00AF185B" w:rsidRPr="00D9387E">
        <w:rPr>
          <w:rFonts w:eastAsia="Malgun Gothic"/>
          <w:lang w:val="en-US" w:eastAsia="ko-KR"/>
        </w:rPr>
        <w:t>, for a RRC idle UE, we prefer to follow legacy LTE baseline</w:t>
      </w:r>
      <w:r>
        <w:rPr>
          <w:rFonts w:eastAsia="Malgun Gothic"/>
          <w:lang w:val="en-US" w:eastAsia="ko-KR"/>
        </w:rPr>
        <w:t>, i.e.,</w:t>
      </w:r>
      <w:r w:rsidR="00AF185B" w:rsidRPr="00D9387E">
        <w:rPr>
          <w:rFonts w:eastAsia="Malgun Gothic"/>
          <w:lang w:val="en-US" w:eastAsia="ko-KR"/>
        </w:rPr>
        <w:t xml:space="preserve"> up to TX UE implementation to decide the HARQ configuration. Of course the selected</w:t>
      </w:r>
      <w:r>
        <w:rPr>
          <w:rFonts w:eastAsia="Malgun Gothic"/>
          <w:lang w:val="en-US" w:eastAsia="ko-KR"/>
        </w:rPr>
        <w:t xml:space="preserve"> HARQ configuration should be able to satisfy the QoS requirement corresponding to those SLRB whose data is included in the MAC PDU to be transmitted.</w:t>
      </w:r>
    </w:p>
    <w:p w14:paraId="1E12B3FD" w14:textId="77777777" w:rsidR="00AF185B" w:rsidRDefault="00AF185B" w:rsidP="00AF185B">
      <w:pPr>
        <w:rPr>
          <w:rFonts w:eastAsia="Malgun Gothic"/>
          <w:b/>
          <w:lang w:val="en-US" w:eastAsia="ko-KR"/>
        </w:rPr>
      </w:pPr>
    </w:p>
    <w:p w14:paraId="4E8FA283" w14:textId="5B7759E9" w:rsidR="00AF185B" w:rsidRDefault="00AF185B" w:rsidP="00AF185B">
      <w:pPr>
        <w:rPr>
          <w:rFonts w:eastAsia="Malgun Gothic"/>
          <w:b/>
          <w:lang w:val="en-US" w:eastAsia="ko-KR"/>
        </w:rPr>
      </w:pPr>
      <w:r>
        <w:rPr>
          <w:rFonts w:eastAsia="Malgun Gothic"/>
          <w:b/>
          <w:lang w:val="en-US" w:eastAsia="ko-KR"/>
        </w:rPr>
        <w:t xml:space="preserve">Proposal </w:t>
      </w:r>
      <w:r w:rsidR="00A80C45">
        <w:rPr>
          <w:rFonts w:eastAsia="Malgun Gothic"/>
          <w:b/>
          <w:lang w:val="en-US" w:eastAsia="ko-KR"/>
        </w:rPr>
        <w:t>2</w:t>
      </w:r>
      <w:r>
        <w:rPr>
          <w:rFonts w:eastAsia="Malgun Gothic"/>
          <w:b/>
          <w:lang w:val="en-US" w:eastAsia="ko-KR"/>
        </w:rPr>
        <w:t xml:space="preserve">: For a RRC idle UE (either IC or OOC), HARQ configuration is determined up to the TX UE implementation. </w:t>
      </w:r>
    </w:p>
    <w:p w14:paraId="775A5EDE" w14:textId="77777777" w:rsidR="00AF185B" w:rsidRDefault="00AF185B" w:rsidP="00AF185B">
      <w:pPr>
        <w:rPr>
          <w:rFonts w:eastAsia="Malgun Gothic"/>
          <w:b/>
          <w:lang w:val="en-US" w:eastAsia="ko-KR"/>
        </w:rPr>
      </w:pPr>
    </w:p>
    <w:p w14:paraId="60F65E56" w14:textId="0EA6E59D" w:rsidR="00AF185B" w:rsidRPr="00A80C45" w:rsidRDefault="00AF185B" w:rsidP="00AF185B">
      <w:pPr>
        <w:rPr>
          <w:rFonts w:eastAsia="Malgun Gothic"/>
          <w:lang w:val="en-US" w:eastAsia="ko-KR"/>
        </w:rPr>
      </w:pPr>
      <w:r w:rsidRPr="00A80C45">
        <w:rPr>
          <w:rFonts w:eastAsia="Malgun Gothic"/>
          <w:lang w:val="en-US" w:eastAsia="ko-KR"/>
        </w:rPr>
        <w:t xml:space="preserve">After TX UE determines the HARQ configuration (either via dedicated signaling from NW or decided by </w:t>
      </w:r>
      <w:r w:rsidR="000A7EA5">
        <w:rPr>
          <w:rFonts w:eastAsia="Malgun Gothic"/>
          <w:lang w:val="en-US" w:eastAsia="ko-KR"/>
        </w:rPr>
        <w:t xml:space="preserve">TX UE </w:t>
      </w:r>
      <w:r w:rsidRPr="00A80C45">
        <w:rPr>
          <w:rFonts w:eastAsia="Malgun Gothic"/>
          <w:lang w:val="en-US" w:eastAsia="ko-KR"/>
        </w:rPr>
        <w:t xml:space="preserve">itself) for a HARQ process, </w:t>
      </w:r>
      <w:r w:rsidR="004060CA">
        <w:rPr>
          <w:rFonts w:eastAsia="Malgun Gothic"/>
          <w:lang w:val="en-US" w:eastAsia="ko-KR"/>
        </w:rPr>
        <w:t xml:space="preserve">TX UE should deliver the </w:t>
      </w:r>
      <w:r w:rsidRPr="00A80C45">
        <w:rPr>
          <w:rFonts w:eastAsia="Malgun Gothic"/>
          <w:lang w:val="en-US" w:eastAsia="ko-KR"/>
        </w:rPr>
        <w:t>Rx required HARQ</w:t>
      </w:r>
      <w:r w:rsidR="004060CA">
        <w:rPr>
          <w:rFonts w:eastAsia="Malgun Gothic"/>
          <w:lang w:val="en-US" w:eastAsia="ko-KR"/>
        </w:rPr>
        <w:t xml:space="preserve"> configuration to</w:t>
      </w:r>
      <w:r w:rsidRPr="00A80C45">
        <w:rPr>
          <w:rFonts w:eastAsia="Malgun Gothic"/>
          <w:lang w:val="en-US" w:eastAsia="ko-KR"/>
        </w:rPr>
        <w:t xml:space="preserve"> the receiver UE. The Rx required HARQ</w:t>
      </w:r>
      <w:r w:rsidR="004060CA">
        <w:rPr>
          <w:rFonts w:eastAsia="Malgun Gothic"/>
          <w:lang w:val="en-US" w:eastAsia="ko-KR"/>
        </w:rPr>
        <w:t xml:space="preserve"> configuration</w:t>
      </w:r>
      <w:r w:rsidRPr="00A80C45">
        <w:rPr>
          <w:rFonts w:eastAsia="Malgun Gothic"/>
          <w:lang w:val="en-US" w:eastAsia="ko-KR"/>
        </w:rPr>
        <w:t xml:space="preserve"> may include</w:t>
      </w:r>
    </w:p>
    <w:p w14:paraId="668DF476" w14:textId="77777777" w:rsidR="00AF185B" w:rsidRPr="00CD2132" w:rsidRDefault="00AF185B" w:rsidP="00AF185B">
      <w:pPr>
        <w:pStyle w:val="ListParagraph"/>
        <w:numPr>
          <w:ilvl w:val="0"/>
          <w:numId w:val="13"/>
        </w:numPr>
        <w:rPr>
          <w:rFonts w:ascii="Arial" w:eastAsia="Malgun Gothic" w:hAnsi="Arial" w:cs="Arial"/>
          <w:lang w:val="en-US" w:eastAsia="ko-KR"/>
        </w:rPr>
      </w:pPr>
      <w:r w:rsidRPr="00CD2132">
        <w:rPr>
          <w:rFonts w:ascii="Arial" w:eastAsia="Malgun Gothic" w:hAnsi="Arial" w:cs="Arial"/>
          <w:lang w:val="en-US" w:eastAsia="ko-KR"/>
        </w:rPr>
        <w:t xml:space="preserve">HARQ feedback information such as </w:t>
      </w:r>
    </w:p>
    <w:p w14:paraId="6EE8504B" w14:textId="77777777" w:rsidR="00AF185B" w:rsidRPr="00CD2132" w:rsidRDefault="00AF185B" w:rsidP="00AF185B">
      <w:pPr>
        <w:pStyle w:val="ListParagraph"/>
        <w:numPr>
          <w:ilvl w:val="1"/>
          <w:numId w:val="13"/>
        </w:numPr>
        <w:rPr>
          <w:rFonts w:ascii="Arial" w:eastAsia="Malgun Gothic" w:hAnsi="Arial" w:cs="Arial"/>
          <w:lang w:val="en-US" w:eastAsia="ko-KR"/>
        </w:rPr>
      </w:pPr>
      <w:r w:rsidRPr="00CD2132">
        <w:rPr>
          <w:rFonts w:ascii="Arial" w:eastAsia="Malgun Gothic" w:hAnsi="Arial" w:cs="Arial"/>
          <w:lang w:val="en-US" w:eastAsia="ko-KR"/>
        </w:rPr>
        <w:t>HARQ feedback mode</w:t>
      </w:r>
    </w:p>
    <w:p w14:paraId="615D4FFF" w14:textId="77777777" w:rsidR="00AF185B" w:rsidRPr="00CD2132" w:rsidRDefault="00AF185B" w:rsidP="00AF185B">
      <w:pPr>
        <w:pStyle w:val="ListParagraph"/>
        <w:numPr>
          <w:ilvl w:val="1"/>
          <w:numId w:val="13"/>
        </w:numPr>
        <w:rPr>
          <w:rFonts w:ascii="Arial" w:eastAsia="Malgun Gothic" w:hAnsi="Arial" w:cs="Arial"/>
          <w:lang w:val="en-US" w:eastAsia="ko-KR"/>
        </w:rPr>
      </w:pPr>
      <w:r w:rsidRPr="00CD2132">
        <w:rPr>
          <w:rFonts w:ascii="Arial" w:eastAsia="Malgun Gothic" w:hAnsi="Arial" w:cs="Arial"/>
          <w:lang w:val="en-US" w:eastAsia="ko-KR"/>
        </w:rPr>
        <w:t>HARQ feedback resource</w:t>
      </w:r>
    </w:p>
    <w:p w14:paraId="53D2C220" w14:textId="77777777" w:rsidR="00AF185B" w:rsidRPr="00CD2132" w:rsidRDefault="00AF185B" w:rsidP="00AF185B">
      <w:pPr>
        <w:pStyle w:val="ListParagraph"/>
        <w:numPr>
          <w:ilvl w:val="0"/>
          <w:numId w:val="13"/>
        </w:numPr>
        <w:rPr>
          <w:rFonts w:ascii="Arial" w:eastAsia="Malgun Gothic" w:hAnsi="Arial" w:cs="Arial"/>
          <w:lang w:val="en-US" w:eastAsia="ko-KR"/>
        </w:rPr>
      </w:pPr>
      <w:r w:rsidRPr="00CD2132">
        <w:rPr>
          <w:rFonts w:ascii="Arial" w:eastAsia="Malgun Gothic" w:hAnsi="Arial" w:cs="Arial"/>
          <w:lang w:val="en-US" w:eastAsia="ko-KR"/>
        </w:rPr>
        <w:t>Number of HARQ retransmissions</w:t>
      </w:r>
    </w:p>
    <w:p w14:paraId="576E3352" w14:textId="0BE52CE5" w:rsidR="00AF185B" w:rsidRPr="00CD2132" w:rsidRDefault="0073583B" w:rsidP="00AF185B">
      <w:pPr>
        <w:pStyle w:val="ListParagraph"/>
        <w:numPr>
          <w:ilvl w:val="1"/>
          <w:numId w:val="13"/>
        </w:numPr>
        <w:rPr>
          <w:rFonts w:ascii="Arial" w:eastAsia="Malgun Gothic" w:hAnsi="Arial" w:cs="Arial"/>
          <w:lang w:val="en-US" w:eastAsia="ko-KR"/>
        </w:rPr>
      </w:pPr>
      <w:r>
        <w:rPr>
          <w:rFonts w:ascii="Arial" w:eastAsia="Malgun Gothic" w:hAnsi="Arial" w:cs="Arial"/>
          <w:lang w:val="en-US" w:eastAsia="ko-KR"/>
        </w:rPr>
        <w:t>Re-transmission</w:t>
      </w:r>
      <w:r w:rsidR="00AF185B" w:rsidRPr="00CD2132">
        <w:rPr>
          <w:rFonts w:ascii="Arial" w:eastAsia="Malgun Gothic" w:hAnsi="Arial" w:cs="Arial"/>
          <w:lang w:val="en-US" w:eastAsia="ko-KR"/>
        </w:rPr>
        <w:t xml:space="preserve"> number impacts the reliability and range </w:t>
      </w:r>
      <w:r w:rsidR="009C02E2" w:rsidRPr="00CD2132">
        <w:rPr>
          <w:rFonts w:ascii="Arial" w:eastAsia="Malgun Gothic" w:hAnsi="Arial" w:cs="Arial"/>
          <w:lang w:val="en-US" w:eastAsia="ko-KR"/>
        </w:rPr>
        <w:fldChar w:fldCharType="begin"/>
      </w:r>
      <w:r w:rsidR="009C02E2" w:rsidRPr="00CD2132">
        <w:rPr>
          <w:rFonts w:ascii="Arial" w:eastAsia="Malgun Gothic" w:hAnsi="Arial" w:cs="Arial"/>
          <w:lang w:val="en-US" w:eastAsia="ko-KR"/>
        </w:rPr>
        <w:instrText xml:space="preserve"> REF _Ref16786692 \r \h </w:instrText>
      </w:r>
      <w:r w:rsidR="00CD2132" w:rsidRPr="00CD2132">
        <w:rPr>
          <w:rFonts w:ascii="Arial" w:eastAsia="Malgun Gothic" w:hAnsi="Arial" w:cs="Arial"/>
          <w:lang w:val="en-US" w:eastAsia="ko-KR"/>
        </w:rPr>
        <w:instrText xml:space="preserve"> \* MERGEFORMAT </w:instrText>
      </w:r>
      <w:r w:rsidR="009C02E2" w:rsidRPr="00CD2132">
        <w:rPr>
          <w:rFonts w:ascii="Arial" w:eastAsia="Malgun Gothic" w:hAnsi="Arial" w:cs="Arial"/>
          <w:lang w:val="en-US" w:eastAsia="ko-KR"/>
        </w:rPr>
      </w:r>
      <w:r w:rsidR="009C02E2" w:rsidRPr="00CD2132">
        <w:rPr>
          <w:rFonts w:ascii="Arial" w:eastAsia="Malgun Gothic" w:hAnsi="Arial" w:cs="Arial"/>
          <w:lang w:val="en-US" w:eastAsia="ko-KR"/>
        </w:rPr>
        <w:fldChar w:fldCharType="separate"/>
      </w:r>
      <w:r w:rsidR="009C02E2" w:rsidRPr="00CD2132">
        <w:rPr>
          <w:rFonts w:ascii="Arial" w:eastAsia="Malgun Gothic" w:hAnsi="Arial" w:cs="Arial"/>
          <w:lang w:val="en-US" w:eastAsia="ko-KR"/>
        </w:rPr>
        <w:t>[2]</w:t>
      </w:r>
      <w:r w:rsidR="009C02E2" w:rsidRPr="00CD2132">
        <w:rPr>
          <w:rFonts w:ascii="Arial" w:eastAsia="Malgun Gothic" w:hAnsi="Arial" w:cs="Arial"/>
          <w:lang w:val="en-US" w:eastAsia="ko-KR"/>
        </w:rPr>
        <w:fldChar w:fldCharType="end"/>
      </w:r>
      <w:r w:rsidR="009C02E2" w:rsidRPr="00CD2132">
        <w:rPr>
          <w:rFonts w:ascii="Arial" w:eastAsia="Malgun Gothic" w:hAnsi="Arial" w:cs="Arial"/>
          <w:lang w:val="en-US" w:eastAsia="ko-KR"/>
        </w:rPr>
        <w:fldChar w:fldCharType="begin"/>
      </w:r>
      <w:r w:rsidR="009C02E2" w:rsidRPr="00CD2132">
        <w:rPr>
          <w:rFonts w:ascii="Arial" w:eastAsia="Malgun Gothic" w:hAnsi="Arial" w:cs="Arial"/>
          <w:lang w:val="en-US" w:eastAsia="ko-KR"/>
        </w:rPr>
        <w:instrText xml:space="preserve"> REF _Ref16786694 \r \h </w:instrText>
      </w:r>
      <w:r w:rsidR="00CD2132" w:rsidRPr="00CD2132">
        <w:rPr>
          <w:rFonts w:ascii="Arial" w:eastAsia="Malgun Gothic" w:hAnsi="Arial" w:cs="Arial"/>
          <w:lang w:val="en-US" w:eastAsia="ko-KR"/>
        </w:rPr>
        <w:instrText xml:space="preserve"> \* MERGEFORMAT </w:instrText>
      </w:r>
      <w:r w:rsidR="009C02E2" w:rsidRPr="00CD2132">
        <w:rPr>
          <w:rFonts w:ascii="Arial" w:eastAsia="Malgun Gothic" w:hAnsi="Arial" w:cs="Arial"/>
          <w:lang w:val="en-US" w:eastAsia="ko-KR"/>
        </w:rPr>
      </w:r>
      <w:r w:rsidR="009C02E2" w:rsidRPr="00CD2132">
        <w:rPr>
          <w:rFonts w:ascii="Arial" w:eastAsia="Malgun Gothic" w:hAnsi="Arial" w:cs="Arial"/>
          <w:lang w:val="en-US" w:eastAsia="ko-KR"/>
        </w:rPr>
        <w:fldChar w:fldCharType="separate"/>
      </w:r>
      <w:r w:rsidR="009C02E2" w:rsidRPr="00CD2132">
        <w:rPr>
          <w:rFonts w:ascii="Arial" w:eastAsia="Malgun Gothic" w:hAnsi="Arial" w:cs="Arial"/>
          <w:lang w:val="en-US" w:eastAsia="ko-KR"/>
        </w:rPr>
        <w:t>[3]</w:t>
      </w:r>
      <w:r w:rsidR="009C02E2" w:rsidRPr="00CD2132">
        <w:rPr>
          <w:rFonts w:ascii="Arial" w:eastAsia="Malgun Gothic" w:hAnsi="Arial" w:cs="Arial"/>
          <w:lang w:val="en-US" w:eastAsia="ko-KR"/>
        </w:rPr>
        <w:fldChar w:fldCharType="end"/>
      </w:r>
      <w:r w:rsidR="00AF185B" w:rsidRPr="00CD2132">
        <w:rPr>
          <w:rFonts w:ascii="Arial" w:eastAsia="Malgun Gothic" w:hAnsi="Arial" w:cs="Arial"/>
          <w:lang w:val="en-US" w:eastAsia="ko-KR"/>
        </w:rPr>
        <w:t xml:space="preserve">. In LTE it is fixed to at most </w:t>
      </w:r>
      <w:r>
        <w:rPr>
          <w:rFonts w:ascii="Arial" w:eastAsia="Malgun Gothic" w:hAnsi="Arial" w:cs="Arial"/>
          <w:lang w:val="en-US" w:eastAsia="ko-KR"/>
        </w:rPr>
        <w:t>2 transmission</w:t>
      </w:r>
      <w:r w:rsidR="00AF185B" w:rsidRPr="00CD2132">
        <w:rPr>
          <w:rFonts w:ascii="Arial" w:eastAsia="Malgun Gothic" w:hAnsi="Arial" w:cs="Arial"/>
          <w:lang w:val="en-US" w:eastAsia="ko-KR"/>
        </w:rPr>
        <w:t xml:space="preserve"> for broadcast, while in NR, of course it should be configurable to support diverse applications.</w:t>
      </w:r>
    </w:p>
    <w:p w14:paraId="39B3A7A2" w14:textId="77777777" w:rsidR="00AF185B" w:rsidRDefault="00AF185B" w:rsidP="00AF185B">
      <w:pPr>
        <w:rPr>
          <w:rFonts w:eastAsia="Malgun Gothic"/>
          <w:b/>
          <w:lang w:val="en-US" w:eastAsia="ko-KR"/>
        </w:rPr>
      </w:pPr>
    </w:p>
    <w:p w14:paraId="3C32B955" w14:textId="77777777" w:rsidR="00AF185B" w:rsidRDefault="00AF185B" w:rsidP="00AF185B">
      <w:pPr>
        <w:rPr>
          <w:rFonts w:eastAsia="Malgun Gothic"/>
          <w:b/>
          <w:lang w:val="en-US" w:eastAsia="ko-KR"/>
        </w:rPr>
      </w:pPr>
    </w:p>
    <w:p w14:paraId="00FCD6A9" w14:textId="2B4ADCA0" w:rsidR="00AF185B" w:rsidRDefault="00AF185B" w:rsidP="00AF185B">
      <w:pPr>
        <w:rPr>
          <w:rFonts w:eastAsia="Malgun Gothic"/>
          <w:b/>
          <w:lang w:val="en-US" w:eastAsia="ko-KR"/>
        </w:rPr>
      </w:pPr>
      <w:r>
        <w:rPr>
          <w:rFonts w:eastAsia="Malgun Gothic"/>
          <w:b/>
          <w:lang w:val="en-US" w:eastAsia="ko-KR"/>
        </w:rPr>
        <w:t xml:space="preserve">Proposal </w:t>
      </w:r>
      <w:r w:rsidR="00A80C45">
        <w:rPr>
          <w:rFonts w:eastAsia="Malgun Gothic"/>
          <w:b/>
          <w:lang w:val="en-US" w:eastAsia="ko-KR"/>
        </w:rPr>
        <w:t>3</w:t>
      </w:r>
      <w:r>
        <w:rPr>
          <w:rFonts w:eastAsia="Malgun Gothic"/>
          <w:b/>
          <w:lang w:val="en-US" w:eastAsia="ko-KR"/>
        </w:rPr>
        <w:t xml:space="preserve">: After deciding HARQ configuration, TX UE deliver Rx required HARQ information to the receiver UE, e.g. HARQ feedback mode or number of HARQ retransmission. </w:t>
      </w:r>
    </w:p>
    <w:p w14:paraId="7EC3D0A1" w14:textId="77777777" w:rsidR="00AF185B" w:rsidRDefault="00AF185B" w:rsidP="00AF185B">
      <w:pPr>
        <w:rPr>
          <w:rFonts w:eastAsia="Malgun Gothic"/>
          <w:b/>
          <w:lang w:val="en-US" w:eastAsia="ko-KR"/>
        </w:rPr>
      </w:pPr>
    </w:p>
    <w:p w14:paraId="3927BC62" w14:textId="07D342CC" w:rsidR="00AF185B" w:rsidRPr="00EE53F2" w:rsidRDefault="00AF185B" w:rsidP="00AF185B">
      <w:pPr>
        <w:rPr>
          <w:rFonts w:eastAsia="Malgun Gothic"/>
          <w:lang w:eastAsia="ko-KR"/>
        </w:rPr>
      </w:pPr>
      <w:r w:rsidRPr="00EE53F2">
        <w:rPr>
          <w:rFonts w:eastAsia="Malgun Gothic"/>
          <w:lang w:val="en-US" w:eastAsia="ko-KR"/>
        </w:rPr>
        <w:t xml:space="preserve">Since the HARQ configuration is a per TB configuration, we prefer to be directly signal the Rx related parameter in SCI, as suggested in </w:t>
      </w:r>
      <w:r w:rsidR="009C02E2">
        <w:rPr>
          <w:rFonts w:eastAsia="Malgun Gothic"/>
          <w:highlight w:val="yellow"/>
          <w:lang w:val="en-US" w:eastAsia="ko-KR"/>
        </w:rPr>
        <w:fldChar w:fldCharType="begin"/>
      </w:r>
      <w:r w:rsidR="009C02E2">
        <w:rPr>
          <w:rFonts w:eastAsia="Malgun Gothic"/>
          <w:lang w:val="en-US" w:eastAsia="ko-KR"/>
        </w:rPr>
        <w:instrText xml:space="preserve"> REF _Ref16786701 \r \h </w:instrText>
      </w:r>
      <w:r w:rsidR="009C02E2">
        <w:rPr>
          <w:rFonts w:eastAsia="Malgun Gothic"/>
          <w:highlight w:val="yellow"/>
          <w:lang w:val="en-US" w:eastAsia="ko-KR"/>
        </w:rPr>
      </w:r>
      <w:r w:rsidR="009C02E2">
        <w:rPr>
          <w:rFonts w:eastAsia="Malgun Gothic"/>
          <w:highlight w:val="yellow"/>
          <w:lang w:val="en-US" w:eastAsia="ko-KR"/>
        </w:rPr>
        <w:fldChar w:fldCharType="separate"/>
      </w:r>
      <w:r w:rsidR="009C02E2">
        <w:rPr>
          <w:rFonts w:eastAsia="Malgun Gothic"/>
          <w:lang w:val="en-US" w:eastAsia="ko-KR"/>
        </w:rPr>
        <w:t>[4]</w:t>
      </w:r>
      <w:r w:rsidR="009C02E2">
        <w:rPr>
          <w:rFonts w:eastAsia="Malgun Gothic"/>
          <w:highlight w:val="yellow"/>
          <w:lang w:val="en-US" w:eastAsia="ko-KR"/>
        </w:rPr>
        <w:fldChar w:fldCharType="end"/>
      </w:r>
      <w:r w:rsidRPr="00EE53F2">
        <w:rPr>
          <w:rFonts w:eastAsia="Malgun Gothic"/>
          <w:lang w:val="en-US" w:eastAsia="ko-KR"/>
        </w:rPr>
        <w:t>.</w:t>
      </w:r>
    </w:p>
    <w:p w14:paraId="4472BF69" w14:textId="77777777" w:rsidR="00AF185B" w:rsidRDefault="00AF185B" w:rsidP="00AF185B">
      <w:pPr>
        <w:rPr>
          <w:rFonts w:eastAsia="Malgun Gothic"/>
          <w:b/>
          <w:lang w:val="en-US" w:eastAsia="ko-KR"/>
        </w:rPr>
      </w:pPr>
    </w:p>
    <w:p w14:paraId="012607C0" w14:textId="45B36C95" w:rsidR="00AF185B" w:rsidRDefault="00AF185B" w:rsidP="00AF185B">
      <w:pPr>
        <w:rPr>
          <w:rFonts w:eastAsia="Malgun Gothic"/>
          <w:b/>
          <w:lang w:val="en-US" w:eastAsia="ko-KR"/>
        </w:rPr>
      </w:pPr>
      <w:r>
        <w:rPr>
          <w:rFonts w:eastAsia="Malgun Gothic"/>
          <w:b/>
          <w:lang w:val="en-US" w:eastAsia="ko-KR"/>
        </w:rPr>
        <w:t>Proposal</w:t>
      </w:r>
      <w:r w:rsidR="00A80C45">
        <w:rPr>
          <w:rFonts w:eastAsia="Malgun Gothic"/>
          <w:b/>
          <w:lang w:val="en-US" w:eastAsia="ko-KR"/>
        </w:rPr>
        <w:t xml:space="preserve"> 4</w:t>
      </w:r>
      <w:r>
        <w:rPr>
          <w:rFonts w:eastAsia="Malgun Gothic"/>
          <w:b/>
          <w:lang w:val="en-US" w:eastAsia="ko-KR"/>
        </w:rPr>
        <w:t>:</w:t>
      </w:r>
      <w:r w:rsidR="0073583B">
        <w:rPr>
          <w:rFonts w:eastAsia="Malgun Gothic"/>
          <w:b/>
          <w:lang w:val="en-US" w:eastAsia="ko-KR"/>
        </w:rPr>
        <w:t xml:space="preserve"> The following two</w:t>
      </w:r>
      <w:r>
        <w:rPr>
          <w:rFonts w:eastAsia="Malgun Gothic"/>
          <w:b/>
          <w:lang w:val="en-US" w:eastAsia="ko-KR"/>
        </w:rPr>
        <w:t xml:space="preserve"> Rx related HARQ co</w:t>
      </w:r>
      <w:r w:rsidR="0073583B">
        <w:rPr>
          <w:rFonts w:eastAsia="Malgun Gothic"/>
          <w:b/>
          <w:lang w:val="en-US" w:eastAsia="ko-KR"/>
        </w:rPr>
        <w:t>nfiguration is signaled via SCI:</w:t>
      </w:r>
      <w:r>
        <w:rPr>
          <w:rFonts w:eastAsia="Malgun Gothic"/>
          <w:b/>
          <w:lang w:val="en-US" w:eastAsia="ko-KR"/>
        </w:rPr>
        <w:t xml:space="preserve"> </w:t>
      </w:r>
    </w:p>
    <w:p w14:paraId="2B03F3BE" w14:textId="77777777" w:rsidR="00AF185B" w:rsidRPr="006F0EBF" w:rsidRDefault="00AF185B" w:rsidP="00AF185B">
      <w:pPr>
        <w:pStyle w:val="ListParagraph"/>
        <w:numPr>
          <w:ilvl w:val="0"/>
          <w:numId w:val="13"/>
        </w:numPr>
        <w:rPr>
          <w:rFonts w:ascii="Arial" w:eastAsia="Malgun Gothic" w:hAnsi="Arial" w:cs="Arial"/>
          <w:b/>
          <w:lang w:val="en-US" w:eastAsia="ko-KR"/>
        </w:rPr>
      </w:pPr>
      <w:r w:rsidRPr="006F0EBF">
        <w:rPr>
          <w:rFonts w:ascii="Arial" w:eastAsia="Malgun Gothic" w:hAnsi="Arial" w:cs="Arial"/>
          <w:b/>
          <w:lang w:val="en-US" w:eastAsia="ko-KR"/>
        </w:rPr>
        <w:t>For groupcast and unicast, the Rx parameter includes HARQ feedback mode</w:t>
      </w:r>
    </w:p>
    <w:p w14:paraId="51AA9332" w14:textId="77777777" w:rsidR="00AF185B" w:rsidRPr="006F0EBF" w:rsidRDefault="00AF185B" w:rsidP="00AF185B">
      <w:pPr>
        <w:pStyle w:val="ListParagraph"/>
        <w:numPr>
          <w:ilvl w:val="0"/>
          <w:numId w:val="13"/>
        </w:numPr>
        <w:rPr>
          <w:rFonts w:ascii="Arial" w:eastAsia="Malgun Gothic" w:hAnsi="Arial" w:cs="Arial"/>
          <w:b/>
          <w:lang w:val="en-US" w:eastAsia="ko-KR"/>
        </w:rPr>
      </w:pPr>
      <w:r w:rsidRPr="006F0EBF">
        <w:rPr>
          <w:rFonts w:ascii="Arial" w:eastAsia="Malgun Gothic" w:hAnsi="Arial" w:cs="Arial"/>
          <w:b/>
          <w:lang w:val="en-US" w:eastAsia="ko-KR"/>
        </w:rPr>
        <w:t>For broadcast (FFS groupcast), the Rx parameter includes the number of HARQ transmissions</w:t>
      </w:r>
    </w:p>
    <w:p w14:paraId="58B1C409" w14:textId="77777777" w:rsidR="00AF185B" w:rsidRDefault="00AF185B" w:rsidP="00937FDA">
      <w:pPr>
        <w:pStyle w:val="CRCoverPage"/>
        <w:spacing w:before="120"/>
        <w:jc w:val="both"/>
        <w:rPr>
          <w:rFonts w:eastAsia="Malgun Gothic"/>
          <w:b/>
          <w:lang w:val="en-US" w:eastAsia="ko-KR"/>
        </w:rPr>
      </w:pPr>
    </w:p>
    <w:p w14:paraId="19945C71" w14:textId="26D64D39" w:rsidR="006B140F" w:rsidRDefault="006B140F" w:rsidP="006B140F">
      <w:pPr>
        <w:pStyle w:val="Heading2"/>
        <w:numPr>
          <w:ilvl w:val="1"/>
          <w:numId w:val="3"/>
        </w:numPr>
        <w:ind w:left="0" w:firstLine="0"/>
        <w:rPr>
          <w:rFonts w:eastAsia="Malgun Gothic"/>
          <w:lang w:val="en-US" w:eastAsia="ko-KR"/>
        </w:rPr>
      </w:pPr>
      <w:r>
        <w:rPr>
          <w:rFonts w:eastAsia="Malgun Gothic"/>
          <w:lang w:val="en-US" w:eastAsia="ko-KR"/>
        </w:rPr>
        <w:t xml:space="preserve">Support of </w:t>
      </w:r>
      <w:r w:rsidR="00EE53F2">
        <w:rPr>
          <w:rFonts w:eastAsia="Malgun Gothic"/>
          <w:lang w:val="en-US" w:eastAsia="ko-KR"/>
        </w:rPr>
        <w:t>mixed mode scheduling in the same SL carrier</w:t>
      </w:r>
      <w:r>
        <w:rPr>
          <w:rFonts w:eastAsia="Malgun Gothic"/>
          <w:lang w:val="en-US" w:eastAsia="ko-KR"/>
        </w:rPr>
        <w:t xml:space="preserve"> </w:t>
      </w:r>
    </w:p>
    <w:p w14:paraId="065D3F21" w14:textId="2700DF13" w:rsidR="00EE53F2" w:rsidRDefault="00EE53F2" w:rsidP="00CE391A">
      <w:pPr>
        <w:rPr>
          <w:rFonts w:eastAsia="Malgun Gothic"/>
          <w:lang w:val="en-US" w:eastAsia="ko-KR"/>
        </w:rPr>
      </w:pPr>
      <w:r>
        <w:rPr>
          <w:rFonts w:eastAsia="Malgun Gothic"/>
          <w:lang w:val="en-US" w:eastAsia="ko-KR"/>
        </w:rPr>
        <w:t>To support simultaneous mode 1 and mode 2 scheduling in the same SL carrier, several approaches are proposed, for example,</w:t>
      </w:r>
    </w:p>
    <w:p w14:paraId="185CE444" w14:textId="677A99A4" w:rsidR="00CE391A" w:rsidRPr="00CD6267" w:rsidRDefault="00EE53F2" w:rsidP="00EE53F2">
      <w:pPr>
        <w:pStyle w:val="ListParagraph"/>
        <w:numPr>
          <w:ilvl w:val="0"/>
          <w:numId w:val="13"/>
        </w:numPr>
        <w:rPr>
          <w:rFonts w:ascii="Arial" w:eastAsia="Malgun Gothic" w:hAnsi="Arial" w:cs="Arial"/>
          <w:lang w:val="en-US" w:eastAsia="ko-KR"/>
        </w:rPr>
      </w:pPr>
      <w:r w:rsidRPr="00CD6267">
        <w:rPr>
          <w:rFonts w:ascii="Arial" w:eastAsia="Malgun Gothic" w:hAnsi="Arial" w:cs="Arial"/>
          <w:lang w:val="en-US" w:eastAsia="ko-KR"/>
        </w:rPr>
        <w:t xml:space="preserve">Differentiated HARQ processes between mode 1 &amp; mode 2 </w:t>
      </w:r>
      <w:r w:rsidR="009C02E2">
        <w:rPr>
          <w:rFonts w:ascii="Arial" w:eastAsia="Malgun Gothic" w:hAnsi="Arial" w:cs="Arial"/>
          <w:lang w:val="en-US" w:eastAsia="ko-KR"/>
        </w:rPr>
        <w:fldChar w:fldCharType="begin"/>
      </w:r>
      <w:r w:rsidR="009C02E2">
        <w:rPr>
          <w:rFonts w:ascii="Arial" w:eastAsia="Malgun Gothic" w:hAnsi="Arial" w:cs="Arial"/>
          <w:lang w:val="en-US" w:eastAsia="ko-KR"/>
        </w:rPr>
        <w:instrText xml:space="preserve"> REF _Ref16786712 \r \h </w:instrText>
      </w:r>
      <w:r w:rsidR="009C02E2">
        <w:rPr>
          <w:rFonts w:ascii="Arial" w:eastAsia="Malgun Gothic" w:hAnsi="Arial" w:cs="Arial"/>
          <w:lang w:val="en-US" w:eastAsia="ko-KR"/>
        </w:rPr>
      </w:r>
      <w:r w:rsidR="009C02E2">
        <w:rPr>
          <w:rFonts w:ascii="Arial" w:eastAsia="Malgun Gothic" w:hAnsi="Arial" w:cs="Arial"/>
          <w:lang w:val="en-US" w:eastAsia="ko-KR"/>
        </w:rPr>
        <w:fldChar w:fldCharType="separate"/>
      </w:r>
      <w:r w:rsidR="009C02E2">
        <w:rPr>
          <w:rFonts w:ascii="Arial" w:eastAsia="Malgun Gothic" w:hAnsi="Arial" w:cs="Arial"/>
          <w:lang w:val="en-US" w:eastAsia="ko-KR"/>
        </w:rPr>
        <w:t>[5]</w:t>
      </w:r>
      <w:r w:rsidR="009C02E2">
        <w:rPr>
          <w:rFonts w:ascii="Arial" w:eastAsia="Malgun Gothic" w:hAnsi="Arial" w:cs="Arial"/>
          <w:lang w:val="en-US" w:eastAsia="ko-KR"/>
        </w:rPr>
        <w:fldChar w:fldCharType="end"/>
      </w:r>
      <w:r w:rsidRPr="00CD6267">
        <w:rPr>
          <w:rFonts w:ascii="Arial" w:eastAsia="Malgun Gothic" w:hAnsi="Arial" w:cs="Arial"/>
          <w:lang w:val="en-US" w:eastAsia="ko-KR"/>
        </w:rPr>
        <w:t xml:space="preserve"> </w:t>
      </w:r>
    </w:p>
    <w:p w14:paraId="15978D23" w14:textId="132C7A0C" w:rsidR="00C305F3" w:rsidRPr="00CD6267" w:rsidRDefault="00EE53F2" w:rsidP="000F2C19">
      <w:pPr>
        <w:pStyle w:val="ListParagraph"/>
        <w:numPr>
          <w:ilvl w:val="0"/>
          <w:numId w:val="13"/>
        </w:numPr>
        <w:rPr>
          <w:rFonts w:ascii="Arial" w:eastAsia="Malgun Gothic" w:hAnsi="Arial" w:cs="Arial"/>
          <w:lang w:val="en-US" w:eastAsia="ko-KR"/>
        </w:rPr>
      </w:pPr>
      <w:r w:rsidRPr="00CD6267">
        <w:rPr>
          <w:rFonts w:ascii="Arial" w:eastAsia="Malgun Gothic" w:hAnsi="Arial" w:cs="Arial"/>
          <w:lang w:val="en-US" w:eastAsia="ko-KR"/>
        </w:rPr>
        <w:t>Separate HARQ entity for mode</w:t>
      </w:r>
      <w:r w:rsidR="009C02E2">
        <w:rPr>
          <w:rFonts w:ascii="Arial" w:eastAsia="Malgun Gothic" w:hAnsi="Arial" w:cs="Arial"/>
          <w:lang w:val="en-US" w:eastAsia="ko-KR"/>
        </w:rPr>
        <w:t xml:space="preserve"> 1 and mode 2</w:t>
      </w:r>
      <w:r w:rsidRPr="00CD6267">
        <w:rPr>
          <w:rFonts w:ascii="Arial" w:eastAsia="Malgun Gothic" w:hAnsi="Arial" w:cs="Arial"/>
          <w:lang w:val="en-US" w:eastAsia="ko-KR"/>
        </w:rPr>
        <w:t xml:space="preserve"> </w:t>
      </w:r>
      <w:r w:rsidR="009C02E2">
        <w:rPr>
          <w:rFonts w:ascii="Arial" w:eastAsia="Malgun Gothic" w:hAnsi="Arial" w:cs="Arial"/>
          <w:lang w:val="en-US" w:eastAsia="ko-KR"/>
        </w:rPr>
        <w:fldChar w:fldCharType="begin"/>
      </w:r>
      <w:r w:rsidR="009C02E2">
        <w:rPr>
          <w:rFonts w:ascii="Arial" w:eastAsia="Malgun Gothic" w:hAnsi="Arial" w:cs="Arial"/>
          <w:lang w:val="en-US" w:eastAsia="ko-KR"/>
        </w:rPr>
        <w:instrText xml:space="preserve"> REF _Ref16786716 \r \h </w:instrText>
      </w:r>
      <w:r w:rsidR="009C02E2">
        <w:rPr>
          <w:rFonts w:ascii="Arial" w:eastAsia="Malgun Gothic" w:hAnsi="Arial" w:cs="Arial"/>
          <w:lang w:val="en-US" w:eastAsia="ko-KR"/>
        </w:rPr>
      </w:r>
      <w:r w:rsidR="009C02E2">
        <w:rPr>
          <w:rFonts w:ascii="Arial" w:eastAsia="Malgun Gothic" w:hAnsi="Arial" w:cs="Arial"/>
          <w:lang w:val="en-US" w:eastAsia="ko-KR"/>
        </w:rPr>
        <w:fldChar w:fldCharType="separate"/>
      </w:r>
      <w:r w:rsidR="009C02E2">
        <w:rPr>
          <w:rFonts w:ascii="Arial" w:eastAsia="Malgun Gothic" w:hAnsi="Arial" w:cs="Arial"/>
          <w:lang w:val="en-US" w:eastAsia="ko-KR"/>
        </w:rPr>
        <w:t>[6]</w:t>
      </w:r>
      <w:r w:rsidR="009C02E2">
        <w:rPr>
          <w:rFonts w:ascii="Arial" w:eastAsia="Malgun Gothic" w:hAnsi="Arial" w:cs="Arial"/>
          <w:lang w:val="en-US" w:eastAsia="ko-KR"/>
        </w:rPr>
        <w:fldChar w:fldCharType="end"/>
      </w:r>
    </w:p>
    <w:p w14:paraId="393660D6" w14:textId="57A0B307" w:rsidR="000F2C19" w:rsidRPr="00CD6267" w:rsidRDefault="00EE53F2" w:rsidP="000F2C19">
      <w:pPr>
        <w:pStyle w:val="ListParagraph"/>
        <w:numPr>
          <w:ilvl w:val="0"/>
          <w:numId w:val="13"/>
        </w:numPr>
        <w:rPr>
          <w:rFonts w:ascii="Arial" w:eastAsia="Malgun Gothic" w:hAnsi="Arial" w:cs="Arial"/>
          <w:lang w:val="en-US" w:eastAsia="ko-KR"/>
        </w:rPr>
      </w:pPr>
      <w:r w:rsidRPr="00CD6267">
        <w:rPr>
          <w:rFonts w:ascii="Arial" w:eastAsia="Malgun Gothic" w:hAnsi="Arial" w:cs="Arial"/>
          <w:lang w:val="en-US" w:eastAsia="ko-KR"/>
        </w:rPr>
        <w:t>Sep</w:t>
      </w:r>
      <w:r w:rsidR="009C02E2">
        <w:rPr>
          <w:rFonts w:ascii="Arial" w:eastAsia="Malgun Gothic" w:hAnsi="Arial" w:cs="Arial"/>
          <w:lang w:val="en-US" w:eastAsia="ko-KR"/>
        </w:rPr>
        <w:t>arate MAC entity for</w:t>
      </w:r>
      <w:r w:rsidR="009C02E2" w:rsidRPr="00CD6267">
        <w:rPr>
          <w:rFonts w:ascii="Arial" w:eastAsia="Malgun Gothic" w:hAnsi="Arial" w:cs="Arial"/>
          <w:lang w:val="en-US" w:eastAsia="ko-KR"/>
        </w:rPr>
        <w:t xml:space="preserve"> mode</w:t>
      </w:r>
      <w:r w:rsidR="009C02E2">
        <w:rPr>
          <w:rFonts w:ascii="Arial" w:eastAsia="Malgun Gothic" w:hAnsi="Arial" w:cs="Arial"/>
          <w:lang w:val="en-US" w:eastAsia="ko-KR"/>
        </w:rPr>
        <w:t xml:space="preserve"> 1 and mode 2</w:t>
      </w:r>
      <w:r w:rsidRPr="00CD6267">
        <w:rPr>
          <w:rFonts w:ascii="Arial" w:eastAsia="Malgun Gothic" w:hAnsi="Arial" w:cs="Arial"/>
          <w:lang w:val="en-US" w:eastAsia="ko-KR"/>
        </w:rPr>
        <w:t xml:space="preserve"> </w:t>
      </w:r>
      <w:r w:rsidR="009C02E2">
        <w:rPr>
          <w:rFonts w:ascii="Arial" w:eastAsia="Malgun Gothic" w:hAnsi="Arial" w:cs="Arial"/>
          <w:lang w:val="en-US" w:eastAsia="ko-KR"/>
        </w:rPr>
        <w:fldChar w:fldCharType="begin"/>
      </w:r>
      <w:r w:rsidR="009C02E2">
        <w:rPr>
          <w:rFonts w:ascii="Arial" w:eastAsia="Malgun Gothic" w:hAnsi="Arial" w:cs="Arial"/>
          <w:lang w:val="en-US" w:eastAsia="ko-KR"/>
        </w:rPr>
        <w:instrText xml:space="preserve"> REF _Ref16786720 \r \h </w:instrText>
      </w:r>
      <w:r w:rsidR="009C02E2">
        <w:rPr>
          <w:rFonts w:ascii="Arial" w:eastAsia="Malgun Gothic" w:hAnsi="Arial" w:cs="Arial"/>
          <w:lang w:val="en-US" w:eastAsia="ko-KR"/>
        </w:rPr>
      </w:r>
      <w:r w:rsidR="009C02E2">
        <w:rPr>
          <w:rFonts w:ascii="Arial" w:eastAsia="Malgun Gothic" w:hAnsi="Arial" w:cs="Arial"/>
          <w:lang w:val="en-US" w:eastAsia="ko-KR"/>
        </w:rPr>
        <w:fldChar w:fldCharType="separate"/>
      </w:r>
      <w:r w:rsidR="009C02E2">
        <w:rPr>
          <w:rFonts w:ascii="Arial" w:eastAsia="Malgun Gothic" w:hAnsi="Arial" w:cs="Arial"/>
          <w:lang w:val="en-US" w:eastAsia="ko-KR"/>
        </w:rPr>
        <w:t>[7]</w:t>
      </w:r>
      <w:r w:rsidR="009C02E2">
        <w:rPr>
          <w:rFonts w:ascii="Arial" w:eastAsia="Malgun Gothic" w:hAnsi="Arial" w:cs="Arial"/>
          <w:lang w:val="en-US" w:eastAsia="ko-KR"/>
        </w:rPr>
        <w:fldChar w:fldCharType="end"/>
      </w:r>
    </w:p>
    <w:p w14:paraId="44076257" w14:textId="77777777" w:rsidR="00C305F3" w:rsidRDefault="00C305F3" w:rsidP="00CE391A">
      <w:pPr>
        <w:rPr>
          <w:rFonts w:eastAsia="Malgun Gothic"/>
          <w:lang w:val="en-US" w:eastAsia="ko-KR"/>
        </w:rPr>
      </w:pPr>
    </w:p>
    <w:p w14:paraId="60BEB9DE" w14:textId="19AADC1F" w:rsidR="00F6025C" w:rsidRDefault="00F6025C" w:rsidP="00CE391A">
      <w:pPr>
        <w:rPr>
          <w:rFonts w:eastAsia="Malgun Gothic"/>
          <w:lang w:val="en-US" w:eastAsia="ko-KR"/>
        </w:rPr>
      </w:pPr>
      <w:r>
        <w:rPr>
          <w:rFonts w:eastAsia="Malgun Gothic"/>
          <w:lang w:val="en-US" w:eastAsia="ko-KR"/>
        </w:rPr>
        <w:t xml:space="preserve">In our view, we prefer not to change current MAC modelling, i.e. keep one MAC entity per CG and one HARQ entity per MAC entity. Besides, we don't think it is flexible to differentiate </w:t>
      </w:r>
      <w:r w:rsidRPr="00EE53F2">
        <w:rPr>
          <w:rFonts w:eastAsia="Malgun Gothic"/>
          <w:lang w:val="en-US" w:eastAsia="ko-KR"/>
        </w:rPr>
        <w:t>HARQ processes between mode 1 &amp; mode 2</w:t>
      </w:r>
      <w:r>
        <w:rPr>
          <w:rFonts w:eastAsia="Malgun Gothic"/>
          <w:lang w:val="en-US" w:eastAsia="ko-KR"/>
        </w:rPr>
        <w:t xml:space="preserve"> – the NW or the TX UE may need to frequently change the number of HARQ processes for mode 1 and mode 2 upon traffic changes.</w:t>
      </w:r>
    </w:p>
    <w:p w14:paraId="5C4D39AF" w14:textId="77777777" w:rsidR="00F6025C" w:rsidRDefault="00F6025C" w:rsidP="00CE391A">
      <w:pPr>
        <w:rPr>
          <w:rFonts w:eastAsia="Malgun Gothic"/>
          <w:lang w:val="en-US" w:eastAsia="ko-KR"/>
        </w:rPr>
      </w:pPr>
    </w:p>
    <w:p w14:paraId="4ACB5A2B" w14:textId="3427523D" w:rsidR="00F6025C" w:rsidRDefault="00663FA5" w:rsidP="00CE391A">
      <w:pPr>
        <w:rPr>
          <w:rFonts w:eastAsia="Malgun Gothic"/>
          <w:lang w:val="en-US" w:eastAsia="ko-KR"/>
        </w:rPr>
      </w:pPr>
      <w:r>
        <w:rPr>
          <w:rFonts w:eastAsia="Malgun Gothic"/>
          <w:lang w:val="en-US" w:eastAsia="ko-KR"/>
        </w:rPr>
        <w:lastRenderedPageBreak/>
        <w:t xml:space="preserve">Instead, we propose to address the issue </w:t>
      </w:r>
      <w:r w:rsidR="00AF185B">
        <w:rPr>
          <w:rFonts w:eastAsia="Malgun Gothic"/>
          <w:lang w:val="en-US" w:eastAsia="ko-KR"/>
        </w:rPr>
        <w:t>by consistent resource selection for retransmission</w:t>
      </w:r>
      <w:r>
        <w:rPr>
          <w:rFonts w:eastAsia="Malgun Gothic"/>
          <w:lang w:val="en-US" w:eastAsia="ko-KR"/>
        </w:rPr>
        <w:t>.</w:t>
      </w:r>
      <w:r w:rsidR="00A703CF">
        <w:rPr>
          <w:rFonts w:eastAsia="Malgun Gothic"/>
          <w:lang w:val="en-US" w:eastAsia="ko-KR"/>
        </w:rPr>
        <w:t xml:space="preserve"> To be specific, each HARQ process can be used to transmit MAC PDU with either mode 1 or mode 2 resource. However, for each TB, only one mode can be applied, i.e. if new transmission of a TB </w:t>
      </w:r>
      <w:r w:rsidR="00AF185B">
        <w:rPr>
          <w:rFonts w:eastAsia="Malgun Gothic"/>
          <w:lang w:val="en-US" w:eastAsia="ko-KR"/>
        </w:rPr>
        <w:t>uses</w:t>
      </w:r>
      <w:r w:rsidR="00A703CF">
        <w:rPr>
          <w:rFonts w:eastAsia="Malgun Gothic"/>
          <w:lang w:val="en-US" w:eastAsia="ko-KR"/>
        </w:rPr>
        <w:t xml:space="preserve"> mode 1 resource, then retransmission </w:t>
      </w:r>
      <w:r w:rsidR="00AF185B">
        <w:rPr>
          <w:rFonts w:eastAsia="Malgun Gothic"/>
          <w:lang w:val="en-US" w:eastAsia="ko-KR"/>
        </w:rPr>
        <w:t>of this</w:t>
      </w:r>
      <w:r w:rsidR="00A703CF">
        <w:rPr>
          <w:rFonts w:eastAsia="Malgun Gothic"/>
          <w:lang w:val="en-US" w:eastAsia="ko-KR"/>
        </w:rPr>
        <w:t xml:space="preserve"> TB </w:t>
      </w:r>
      <w:r w:rsidR="00AF185B">
        <w:rPr>
          <w:rFonts w:eastAsia="Malgun Gothic"/>
          <w:lang w:val="en-US" w:eastAsia="ko-KR"/>
        </w:rPr>
        <w:t>should</w:t>
      </w:r>
      <w:r w:rsidR="00A703CF">
        <w:rPr>
          <w:rFonts w:eastAsia="Malgun Gothic"/>
          <w:lang w:val="en-US" w:eastAsia="ko-KR"/>
        </w:rPr>
        <w:t xml:space="preserve"> only apply mode 1 resource.</w:t>
      </w:r>
    </w:p>
    <w:p w14:paraId="30108196" w14:textId="77777777" w:rsidR="00F6025C" w:rsidRDefault="00F6025C" w:rsidP="00CE391A">
      <w:pPr>
        <w:rPr>
          <w:rFonts w:eastAsia="Malgun Gothic"/>
          <w:lang w:val="en-US" w:eastAsia="ko-KR"/>
        </w:rPr>
      </w:pPr>
    </w:p>
    <w:p w14:paraId="0448324F" w14:textId="77777777" w:rsidR="00F6025C" w:rsidRDefault="00F6025C" w:rsidP="00CE391A">
      <w:pPr>
        <w:rPr>
          <w:rFonts w:eastAsia="Malgun Gothic"/>
          <w:lang w:val="en-US" w:eastAsia="ko-KR"/>
        </w:rPr>
      </w:pPr>
    </w:p>
    <w:p w14:paraId="353B0088" w14:textId="1BC8521A" w:rsidR="00CE391A" w:rsidRDefault="00CE391A" w:rsidP="00CE391A">
      <w:pPr>
        <w:rPr>
          <w:rFonts w:eastAsia="Malgun Gothic"/>
          <w:b/>
          <w:lang w:val="en-US" w:eastAsia="ko-KR"/>
        </w:rPr>
      </w:pPr>
      <w:r>
        <w:rPr>
          <w:rFonts w:eastAsia="Malgun Gothic"/>
          <w:b/>
          <w:lang w:val="en-US" w:eastAsia="ko-KR"/>
        </w:rPr>
        <w:t xml:space="preserve">Proposal </w:t>
      </w:r>
      <w:r w:rsidR="00A80C45">
        <w:rPr>
          <w:rFonts w:eastAsia="Malgun Gothic"/>
          <w:b/>
          <w:lang w:val="en-US" w:eastAsia="ko-KR"/>
        </w:rPr>
        <w:t>5</w:t>
      </w:r>
      <w:r>
        <w:rPr>
          <w:rFonts w:eastAsia="Malgun Gothic"/>
          <w:b/>
          <w:lang w:val="en-US" w:eastAsia="ko-KR"/>
        </w:rPr>
        <w:t>: For each MAC PDU,</w:t>
      </w:r>
      <w:r w:rsidR="002E107C">
        <w:rPr>
          <w:rFonts w:eastAsia="Malgun Gothic"/>
          <w:b/>
          <w:lang w:val="en-US" w:eastAsia="ko-KR"/>
        </w:rPr>
        <w:t xml:space="preserve"> UE apply the same</w:t>
      </w:r>
      <w:r>
        <w:rPr>
          <w:rFonts w:eastAsia="Malgun Gothic"/>
          <w:b/>
          <w:lang w:val="en-US" w:eastAsia="ko-KR"/>
        </w:rPr>
        <w:t xml:space="preserve"> resource allocation mode for new transmission and re-transmission.</w:t>
      </w:r>
    </w:p>
    <w:p w14:paraId="7D72B9D3" w14:textId="747400C7" w:rsidR="00CE391A" w:rsidRDefault="00CE391A" w:rsidP="00CE391A">
      <w:pPr>
        <w:rPr>
          <w:rFonts w:eastAsia="Malgun Gothic"/>
          <w:b/>
          <w:lang w:val="en-US" w:eastAsia="ko-KR"/>
        </w:rPr>
      </w:pPr>
    </w:p>
    <w:p w14:paraId="0819D21F" w14:textId="77777777" w:rsidR="00A577D4" w:rsidRPr="00937FDA" w:rsidRDefault="00A577D4" w:rsidP="00937FDA">
      <w:pPr>
        <w:pStyle w:val="CRCoverPage"/>
        <w:spacing w:before="120"/>
        <w:jc w:val="both"/>
        <w:rPr>
          <w:b/>
          <w:lang w:val="en-US"/>
        </w:rPr>
      </w:pP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12B0E4FD" w14:textId="4A74979F" w:rsidR="00642F89" w:rsidRDefault="003E5283" w:rsidP="00642F89">
      <w:pPr>
        <w:rPr>
          <w:rFonts w:eastAsia="MS Mincho"/>
          <w:lang w:val="en-US" w:eastAsia="en-US"/>
        </w:rPr>
      </w:pPr>
      <w:r>
        <w:rPr>
          <w:rFonts w:eastAsia="MS Mincho"/>
          <w:lang w:val="en-US" w:eastAsia="en-US"/>
        </w:rPr>
        <w:t>In this paper, we consider how UE determine the SL HARQ configuration, and how HARQ process support two resource allocation mode simultaneously. Based on discussion above, we propose</w:t>
      </w:r>
    </w:p>
    <w:p w14:paraId="75E98BE5" w14:textId="77777777" w:rsidR="003E5283" w:rsidRPr="00AA3FA4" w:rsidRDefault="003E5283" w:rsidP="00642F89">
      <w:pPr>
        <w:rPr>
          <w:rFonts w:eastAsia="MS Mincho"/>
          <w:lang w:val="en-US" w:eastAsia="en-US"/>
        </w:rPr>
      </w:pPr>
    </w:p>
    <w:p w14:paraId="5941D163" w14:textId="77777777" w:rsidR="008539EF" w:rsidRDefault="008539EF" w:rsidP="008539EF">
      <w:pPr>
        <w:rPr>
          <w:rFonts w:eastAsia="Malgun Gothic"/>
          <w:b/>
          <w:lang w:val="en-US" w:eastAsia="ko-KR"/>
        </w:rPr>
      </w:pPr>
      <w:r>
        <w:rPr>
          <w:rFonts w:eastAsia="Malgun Gothic"/>
          <w:b/>
          <w:lang w:val="en-US" w:eastAsia="ko-KR"/>
        </w:rPr>
        <w:t>Proposal 1: For a RRC connected UE, HARQ configuration is controlled by the network (e.g. via dedicated signaling) regardless of the resource allocation mode.</w:t>
      </w:r>
    </w:p>
    <w:p w14:paraId="19340902" w14:textId="77777777" w:rsidR="00BD1973" w:rsidRDefault="00BD1973">
      <w:pPr>
        <w:rPr>
          <w:rFonts w:eastAsia="MS Mincho"/>
          <w:lang w:val="en-US" w:eastAsia="en-US"/>
        </w:rPr>
      </w:pPr>
    </w:p>
    <w:p w14:paraId="2E75B6BF" w14:textId="77777777" w:rsidR="008539EF" w:rsidRDefault="008539EF" w:rsidP="008539EF">
      <w:pPr>
        <w:rPr>
          <w:rFonts w:eastAsia="Malgun Gothic"/>
          <w:b/>
          <w:lang w:val="en-US" w:eastAsia="ko-KR"/>
        </w:rPr>
      </w:pPr>
      <w:r>
        <w:rPr>
          <w:rFonts w:eastAsia="Malgun Gothic"/>
          <w:b/>
          <w:lang w:val="en-US" w:eastAsia="ko-KR"/>
        </w:rPr>
        <w:t xml:space="preserve">Proposal 2: For a RRC idle UE (either IC or OOC), HARQ configuration is determined up to the TX UE implementation. </w:t>
      </w:r>
    </w:p>
    <w:p w14:paraId="3167B1F3" w14:textId="77777777" w:rsidR="00FB089B" w:rsidRPr="00FB089B" w:rsidRDefault="00FB089B" w:rsidP="007A286D">
      <w:pPr>
        <w:pStyle w:val="CRCoverPage"/>
        <w:spacing w:before="120"/>
        <w:jc w:val="both"/>
        <w:rPr>
          <w:b/>
          <w:lang w:val="en-US"/>
        </w:rPr>
      </w:pPr>
    </w:p>
    <w:p w14:paraId="53F4E577" w14:textId="77777777" w:rsidR="008539EF" w:rsidRDefault="008539EF" w:rsidP="008539EF">
      <w:pPr>
        <w:rPr>
          <w:rFonts w:eastAsia="Malgun Gothic"/>
          <w:b/>
          <w:lang w:val="en-US" w:eastAsia="ko-KR"/>
        </w:rPr>
      </w:pPr>
      <w:r>
        <w:rPr>
          <w:rFonts w:eastAsia="Malgun Gothic"/>
          <w:b/>
          <w:lang w:val="en-US" w:eastAsia="ko-KR"/>
        </w:rPr>
        <w:t xml:space="preserve">Proposal 3: After deciding HARQ configuration, TX UE deliver Rx required HARQ information to the receiver UE, e.g. HARQ feedback mode or number of HARQ retransmission. </w:t>
      </w:r>
    </w:p>
    <w:p w14:paraId="01D1C56C" w14:textId="77777777" w:rsidR="001843AD" w:rsidRDefault="001843AD" w:rsidP="009103E4">
      <w:pPr>
        <w:pStyle w:val="CRCoverPage"/>
        <w:spacing w:before="120"/>
        <w:jc w:val="both"/>
        <w:rPr>
          <w:b/>
          <w:lang w:val="en-US" w:eastAsia="ko-KR"/>
        </w:rPr>
      </w:pPr>
    </w:p>
    <w:p w14:paraId="5CAA52DF" w14:textId="77777777" w:rsidR="00AB741D" w:rsidRDefault="00AB741D" w:rsidP="00AB741D">
      <w:pPr>
        <w:rPr>
          <w:rFonts w:eastAsia="Malgun Gothic"/>
          <w:b/>
          <w:lang w:val="en-US" w:eastAsia="ko-KR"/>
        </w:rPr>
      </w:pPr>
      <w:r>
        <w:rPr>
          <w:rFonts w:eastAsia="Malgun Gothic"/>
          <w:b/>
          <w:lang w:val="en-US" w:eastAsia="ko-KR"/>
        </w:rPr>
        <w:t xml:space="preserve">Proposal 4: The following two Rx related HARQ configuration is signaled via SCI: </w:t>
      </w:r>
    </w:p>
    <w:p w14:paraId="0D3A2003" w14:textId="77777777" w:rsidR="00AB741D" w:rsidRPr="006F0EBF" w:rsidRDefault="00AB741D" w:rsidP="00AB741D">
      <w:pPr>
        <w:pStyle w:val="ListParagraph"/>
        <w:numPr>
          <w:ilvl w:val="0"/>
          <w:numId w:val="13"/>
        </w:numPr>
        <w:rPr>
          <w:rFonts w:ascii="Arial" w:eastAsia="Malgun Gothic" w:hAnsi="Arial" w:cs="Arial"/>
          <w:b/>
          <w:lang w:val="en-US" w:eastAsia="ko-KR"/>
        </w:rPr>
      </w:pPr>
      <w:r w:rsidRPr="006F0EBF">
        <w:rPr>
          <w:rFonts w:ascii="Arial" w:eastAsia="Malgun Gothic" w:hAnsi="Arial" w:cs="Arial"/>
          <w:b/>
          <w:lang w:val="en-US" w:eastAsia="ko-KR"/>
        </w:rPr>
        <w:t>For groupcast and unicast, the Rx parameter includes HARQ feedback mode</w:t>
      </w:r>
    </w:p>
    <w:p w14:paraId="09EAD541" w14:textId="77777777" w:rsidR="00AB741D" w:rsidRPr="006F0EBF" w:rsidRDefault="00AB741D" w:rsidP="00AB741D">
      <w:pPr>
        <w:pStyle w:val="ListParagraph"/>
        <w:numPr>
          <w:ilvl w:val="0"/>
          <w:numId w:val="13"/>
        </w:numPr>
        <w:rPr>
          <w:rFonts w:ascii="Arial" w:eastAsia="Malgun Gothic" w:hAnsi="Arial" w:cs="Arial"/>
          <w:b/>
          <w:lang w:val="en-US" w:eastAsia="ko-KR"/>
        </w:rPr>
      </w:pPr>
      <w:r w:rsidRPr="006F0EBF">
        <w:rPr>
          <w:rFonts w:ascii="Arial" w:eastAsia="Malgun Gothic" w:hAnsi="Arial" w:cs="Arial"/>
          <w:b/>
          <w:lang w:val="en-US" w:eastAsia="ko-KR"/>
        </w:rPr>
        <w:t>For broadcast (FFS groupcast), the Rx parameter includes the number of HARQ transmissions</w:t>
      </w:r>
    </w:p>
    <w:p w14:paraId="50707F23" w14:textId="77777777" w:rsidR="008539EF" w:rsidRDefault="008539EF" w:rsidP="009103E4">
      <w:pPr>
        <w:pStyle w:val="CRCoverPage"/>
        <w:spacing w:before="120"/>
        <w:jc w:val="both"/>
        <w:rPr>
          <w:b/>
          <w:lang w:val="en-US" w:eastAsia="ko-KR"/>
        </w:rPr>
      </w:pPr>
    </w:p>
    <w:p w14:paraId="59BBEE8E" w14:textId="21E01CAA" w:rsidR="008539EF" w:rsidRDefault="002E107C" w:rsidP="00167CA6">
      <w:pPr>
        <w:rPr>
          <w:b/>
          <w:lang w:val="en-US" w:eastAsia="ko-KR"/>
        </w:rPr>
      </w:pPr>
      <w:r>
        <w:rPr>
          <w:rFonts w:eastAsia="Malgun Gothic"/>
          <w:b/>
          <w:lang w:val="en-US" w:eastAsia="ko-KR"/>
        </w:rPr>
        <w:t>Proposal 5: For each MAC PDU, UE apply the same resource allocation mode for new transmission and re-transmission.</w:t>
      </w:r>
    </w:p>
    <w:p w14:paraId="7513D9EC" w14:textId="77777777" w:rsidR="008539EF" w:rsidRDefault="008539EF" w:rsidP="009103E4">
      <w:pPr>
        <w:pStyle w:val="CRCoverPage"/>
        <w:spacing w:before="120"/>
        <w:jc w:val="both"/>
        <w:rPr>
          <w:b/>
          <w:lang w:val="en-US" w:eastAsia="ko-KR"/>
        </w:rPr>
      </w:pPr>
    </w:p>
    <w:p w14:paraId="41A4C41C" w14:textId="77777777" w:rsidR="001843AD" w:rsidRDefault="001843AD" w:rsidP="001843A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14:paraId="4DD94006" w14:textId="77777777" w:rsidR="00EE3608" w:rsidRPr="00EE3608" w:rsidRDefault="003A173F" w:rsidP="00706C34">
      <w:pPr>
        <w:pStyle w:val="Reference"/>
        <w:numPr>
          <w:ilvl w:val="0"/>
          <w:numId w:val="2"/>
        </w:numPr>
        <w:spacing w:before="120" w:after="120"/>
        <w:ind w:left="426" w:right="0" w:hanging="426"/>
        <w:jc w:val="both"/>
        <w:rPr>
          <w:rFonts w:ascii="Arial" w:hAnsi="Arial"/>
          <w:sz w:val="20"/>
          <w:szCs w:val="20"/>
          <w:lang w:val="en-US"/>
        </w:rPr>
      </w:pPr>
      <w:bookmarkStart w:id="0" w:name="_Ref15916905"/>
      <w:r w:rsidRPr="00EE3608">
        <w:rPr>
          <w:rFonts w:ascii="Arial" w:hAnsi="Arial"/>
          <w:kern w:val="0"/>
          <w:sz w:val="20"/>
          <w:szCs w:val="20"/>
          <w:lang w:val="en-US"/>
        </w:rPr>
        <w:t>RAN2#105 Chairman’s note</w:t>
      </w:r>
      <w:bookmarkEnd w:id="0"/>
      <w:r w:rsidR="00EE3608" w:rsidRPr="00EE3608">
        <w:rPr>
          <w:rFonts w:ascii="Arial" w:hAnsi="Arial"/>
          <w:kern w:val="0"/>
          <w:sz w:val="20"/>
          <w:szCs w:val="20"/>
          <w:lang w:val="en-US"/>
        </w:rPr>
        <w:t xml:space="preserve"> </w:t>
      </w:r>
    </w:p>
    <w:p w14:paraId="1B311A13" w14:textId="77777777" w:rsidR="00EE3608" w:rsidRPr="00EE3608" w:rsidRDefault="008D51CA" w:rsidP="00706C34">
      <w:pPr>
        <w:pStyle w:val="Reference"/>
        <w:numPr>
          <w:ilvl w:val="0"/>
          <w:numId w:val="2"/>
        </w:numPr>
        <w:spacing w:before="120" w:after="120"/>
        <w:ind w:left="426" w:right="0" w:hanging="426"/>
        <w:jc w:val="both"/>
        <w:rPr>
          <w:rFonts w:ascii="Arial" w:hAnsi="Arial"/>
          <w:kern w:val="0"/>
          <w:sz w:val="20"/>
          <w:szCs w:val="20"/>
          <w:lang w:val="en-US"/>
        </w:rPr>
      </w:pPr>
      <w:bookmarkStart w:id="1" w:name="_Ref16786692"/>
      <w:r w:rsidRPr="00EE3608">
        <w:rPr>
          <w:rFonts w:ascii="Arial" w:hAnsi="Arial"/>
          <w:sz w:val="20"/>
          <w:szCs w:val="20"/>
          <w:lang w:val="en-US"/>
        </w:rPr>
        <w:t>R2-1907579</w:t>
      </w:r>
      <w:r w:rsidR="00D3172D" w:rsidRPr="00EE3608">
        <w:rPr>
          <w:rFonts w:ascii="Arial" w:hAnsi="Arial"/>
          <w:sz w:val="20"/>
          <w:szCs w:val="20"/>
          <w:lang w:val="en-US"/>
        </w:rPr>
        <w:t xml:space="preserve">, </w:t>
      </w:r>
      <w:r w:rsidRPr="00EE3608">
        <w:rPr>
          <w:rFonts w:ascii="Arial" w:hAnsi="Arial"/>
          <w:sz w:val="20"/>
          <w:szCs w:val="20"/>
          <w:lang w:val="en-US"/>
        </w:rPr>
        <w:t>QoS Support for NR V2X</w:t>
      </w:r>
      <w:r w:rsidR="00D3172D" w:rsidRPr="00EE3608">
        <w:rPr>
          <w:rFonts w:ascii="Arial" w:hAnsi="Arial"/>
          <w:sz w:val="20"/>
          <w:szCs w:val="20"/>
          <w:lang w:val="en-US"/>
        </w:rPr>
        <w:t xml:space="preserve">, </w:t>
      </w:r>
      <w:r w:rsidR="00EE3608" w:rsidRPr="00EE3608">
        <w:rPr>
          <w:rFonts w:ascii="Arial" w:hAnsi="Arial"/>
          <w:sz w:val="20"/>
          <w:szCs w:val="20"/>
          <w:lang w:val="en-US"/>
        </w:rPr>
        <w:t>Qualcomm Incorporated, RAN2#106</w:t>
      </w:r>
      <w:bookmarkEnd w:id="1"/>
      <w:r w:rsidR="00EE3608" w:rsidRPr="00EE3608">
        <w:rPr>
          <w:rFonts w:ascii="Arial" w:hAnsi="Arial"/>
          <w:sz w:val="20"/>
          <w:szCs w:val="20"/>
          <w:lang w:val="en-US"/>
        </w:rPr>
        <w:t xml:space="preserve"> </w:t>
      </w:r>
    </w:p>
    <w:p w14:paraId="46385D31" w14:textId="77777777" w:rsidR="00EE3608" w:rsidRPr="00EE3608" w:rsidRDefault="00D3172D" w:rsidP="00706C34">
      <w:pPr>
        <w:pStyle w:val="Reference"/>
        <w:numPr>
          <w:ilvl w:val="0"/>
          <w:numId w:val="2"/>
        </w:numPr>
        <w:spacing w:before="120" w:after="120"/>
        <w:ind w:left="426" w:right="0" w:hanging="426"/>
        <w:jc w:val="both"/>
        <w:rPr>
          <w:rFonts w:ascii="Arial" w:hAnsi="Arial"/>
          <w:kern w:val="0"/>
          <w:sz w:val="20"/>
          <w:szCs w:val="20"/>
          <w:lang w:val="en-US"/>
        </w:rPr>
      </w:pPr>
      <w:bookmarkStart w:id="2" w:name="_Ref16786694"/>
      <w:r w:rsidRPr="00EE3608">
        <w:rPr>
          <w:rFonts w:ascii="Arial" w:hAnsi="Arial"/>
          <w:kern w:val="0"/>
          <w:sz w:val="20"/>
          <w:szCs w:val="20"/>
          <w:lang w:val="en-US"/>
        </w:rPr>
        <w:t>R2-1907415,</w:t>
      </w:r>
      <w:r w:rsidR="00EE3608" w:rsidRPr="00EE3608">
        <w:rPr>
          <w:rFonts w:ascii="Arial" w:hAnsi="Arial"/>
          <w:kern w:val="0"/>
          <w:sz w:val="20"/>
          <w:szCs w:val="20"/>
          <w:lang w:val="en-US"/>
        </w:rPr>
        <w:t xml:space="preserve"> Reliability enhancements for</w:t>
      </w:r>
      <w:r w:rsidR="00EE3608" w:rsidRPr="00EE3608">
        <w:rPr>
          <w:rFonts w:ascii="Arial" w:hAnsi="Arial" w:hint="eastAsia"/>
          <w:kern w:val="0"/>
          <w:sz w:val="20"/>
          <w:szCs w:val="20"/>
          <w:lang w:val="en-US"/>
        </w:rPr>
        <w:t xml:space="preserve"> NR sidelink</w:t>
      </w:r>
      <w:r w:rsidR="00EE3608" w:rsidRPr="00EE3608">
        <w:rPr>
          <w:rFonts w:ascii="Arial" w:hAnsi="Arial"/>
          <w:kern w:val="0"/>
          <w:sz w:val="20"/>
          <w:szCs w:val="20"/>
          <w:lang w:val="en-US"/>
        </w:rPr>
        <w:t xml:space="preserve"> broadcast, Huawei, HiSilicon, RAN2#106</w:t>
      </w:r>
      <w:bookmarkEnd w:id="2"/>
      <w:r w:rsidR="00EE3608" w:rsidRPr="00EE3608">
        <w:rPr>
          <w:rFonts w:ascii="Arial" w:hAnsi="Arial"/>
          <w:kern w:val="0"/>
          <w:sz w:val="20"/>
          <w:szCs w:val="20"/>
          <w:lang w:val="en-US"/>
        </w:rPr>
        <w:t xml:space="preserve"> </w:t>
      </w:r>
    </w:p>
    <w:p w14:paraId="76D7AC23" w14:textId="77777777" w:rsidR="00EE3608" w:rsidRPr="00EE3608" w:rsidRDefault="00BF7985" w:rsidP="00706C34">
      <w:pPr>
        <w:pStyle w:val="Reference"/>
        <w:numPr>
          <w:ilvl w:val="0"/>
          <w:numId w:val="2"/>
        </w:numPr>
        <w:spacing w:before="120" w:after="120"/>
        <w:ind w:left="426" w:right="0" w:hanging="426"/>
        <w:jc w:val="both"/>
        <w:rPr>
          <w:rFonts w:ascii="Arial" w:eastAsia="SimSun" w:hAnsi="Arial"/>
          <w:sz w:val="20"/>
          <w:szCs w:val="20"/>
          <w:lang w:val="en-US" w:eastAsia="ja-JP"/>
        </w:rPr>
      </w:pPr>
      <w:bookmarkStart w:id="3" w:name="_Ref16786701"/>
      <w:r w:rsidRPr="00EE3608">
        <w:rPr>
          <w:rFonts w:ascii="Arial" w:hAnsi="Arial"/>
          <w:kern w:val="0"/>
          <w:sz w:val="20"/>
          <w:szCs w:val="20"/>
          <w:lang w:val="en-US"/>
        </w:rPr>
        <w:t xml:space="preserve">R2-1907351, </w:t>
      </w:r>
      <w:r w:rsidR="00EE3608" w:rsidRPr="00EE3608">
        <w:rPr>
          <w:rFonts w:ascii="Arial" w:hAnsi="Arial"/>
          <w:kern w:val="0"/>
          <w:sz w:val="20"/>
          <w:szCs w:val="20"/>
          <w:lang w:val="en-US"/>
        </w:rPr>
        <w:t>On the Suppo</w:t>
      </w:r>
      <w:bookmarkStart w:id="4" w:name="_GoBack"/>
      <w:bookmarkEnd w:id="4"/>
      <w:r w:rsidR="00EE3608" w:rsidRPr="00EE3608">
        <w:rPr>
          <w:rFonts w:ascii="Arial" w:hAnsi="Arial"/>
          <w:kern w:val="0"/>
          <w:sz w:val="20"/>
          <w:szCs w:val="20"/>
          <w:lang w:val="en-US"/>
        </w:rPr>
        <w:t xml:space="preserve">rt of HARQ feedbacks Over Sidelink, </w:t>
      </w:r>
      <w:r w:rsidR="00D3172D" w:rsidRPr="00EE3608">
        <w:rPr>
          <w:rFonts w:ascii="Arial" w:hAnsi="Arial"/>
          <w:kern w:val="0"/>
          <w:sz w:val="20"/>
          <w:szCs w:val="20"/>
          <w:lang w:val="en-US"/>
        </w:rPr>
        <w:t>E</w:t>
      </w:r>
      <w:r w:rsidRPr="00EE3608">
        <w:rPr>
          <w:rFonts w:ascii="Arial" w:hAnsi="Arial"/>
          <w:kern w:val="0"/>
          <w:sz w:val="20"/>
          <w:szCs w:val="20"/>
          <w:lang w:val="en-US"/>
        </w:rPr>
        <w:t>ricsson</w:t>
      </w:r>
      <w:r w:rsidR="00EE3608" w:rsidRPr="00EE3608">
        <w:rPr>
          <w:rFonts w:ascii="Arial" w:hAnsi="Arial"/>
          <w:kern w:val="0"/>
          <w:sz w:val="20"/>
          <w:szCs w:val="20"/>
          <w:lang w:val="en-US"/>
        </w:rPr>
        <w:t>, RAN2#106</w:t>
      </w:r>
      <w:bookmarkEnd w:id="3"/>
      <w:r w:rsidR="00EE3608" w:rsidRPr="00EE3608">
        <w:rPr>
          <w:rFonts w:ascii="Arial" w:hAnsi="Arial"/>
          <w:kern w:val="0"/>
          <w:sz w:val="20"/>
          <w:szCs w:val="20"/>
          <w:lang w:val="en-US"/>
        </w:rPr>
        <w:t xml:space="preserve"> </w:t>
      </w:r>
    </w:p>
    <w:p w14:paraId="5CA29914" w14:textId="77777777" w:rsidR="00AB741D" w:rsidRDefault="00D3172D" w:rsidP="00706C34">
      <w:pPr>
        <w:pStyle w:val="Reference"/>
        <w:numPr>
          <w:ilvl w:val="0"/>
          <w:numId w:val="2"/>
        </w:numPr>
        <w:spacing w:before="120" w:after="120"/>
        <w:ind w:left="426" w:right="0" w:hanging="426"/>
        <w:jc w:val="both"/>
        <w:rPr>
          <w:rFonts w:ascii="Arial" w:hAnsi="Arial"/>
          <w:kern w:val="0"/>
          <w:sz w:val="20"/>
          <w:szCs w:val="20"/>
          <w:lang w:val="en-US"/>
        </w:rPr>
      </w:pPr>
      <w:bookmarkStart w:id="5" w:name="_Ref16786712"/>
      <w:r w:rsidRPr="00AB741D">
        <w:rPr>
          <w:rFonts w:ascii="Arial" w:hAnsi="Arial"/>
          <w:kern w:val="0"/>
          <w:sz w:val="20"/>
          <w:szCs w:val="20"/>
          <w:lang w:val="en-US"/>
        </w:rPr>
        <w:t>R2-1907414</w:t>
      </w:r>
      <w:r w:rsidR="00BF7985" w:rsidRPr="00AB741D">
        <w:rPr>
          <w:rFonts w:ascii="Arial" w:hAnsi="Arial"/>
          <w:kern w:val="0"/>
          <w:sz w:val="20"/>
          <w:szCs w:val="20"/>
          <w:lang w:val="en-US"/>
        </w:rPr>
        <w:t>, Discussion on HARQ support for NR sidelink, Huawei, HiSilicon, RAN2#106</w:t>
      </w:r>
      <w:bookmarkEnd w:id="5"/>
      <w:r w:rsidR="00EE3608" w:rsidRPr="00AB741D">
        <w:rPr>
          <w:rFonts w:ascii="Arial" w:hAnsi="Arial"/>
          <w:kern w:val="0"/>
          <w:sz w:val="20"/>
          <w:szCs w:val="20"/>
          <w:lang w:val="en-US"/>
        </w:rPr>
        <w:t xml:space="preserve"> </w:t>
      </w:r>
      <w:bookmarkStart w:id="6" w:name="_Ref16786716"/>
    </w:p>
    <w:p w14:paraId="23698D11" w14:textId="64D76CC1" w:rsidR="00AB741D" w:rsidRPr="00AB741D" w:rsidRDefault="00BF7985" w:rsidP="00706C34">
      <w:pPr>
        <w:pStyle w:val="Reference"/>
        <w:numPr>
          <w:ilvl w:val="0"/>
          <w:numId w:val="2"/>
        </w:numPr>
        <w:spacing w:before="120" w:after="120"/>
        <w:ind w:left="426" w:right="0" w:hanging="426"/>
        <w:jc w:val="both"/>
        <w:rPr>
          <w:rFonts w:ascii="Arial" w:hAnsi="Arial"/>
          <w:kern w:val="0"/>
          <w:sz w:val="20"/>
          <w:szCs w:val="20"/>
          <w:lang w:val="en-US"/>
        </w:rPr>
      </w:pPr>
      <w:r w:rsidRPr="00AB741D">
        <w:rPr>
          <w:rFonts w:ascii="Arial" w:hAnsi="Arial"/>
          <w:sz w:val="20"/>
          <w:szCs w:val="20"/>
          <w:lang w:val="en-US"/>
        </w:rPr>
        <w:t>R2-1904699, Simultaneous configuration of mode-1 and mode-2, Ericsson, RAN2#105Bis</w:t>
      </w:r>
      <w:bookmarkStart w:id="7" w:name="_Ref16786720"/>
      <w:bookmarkEnd w:id="6"/>
    </w:p>
    <w:p w14:paraId="2198083B" w14:textId="235593EE" w:rsidR="005212DA" w:rsidRPr="00AB741D" w:rsidRDefault="00D3172D" w:rsidP="00706C34">
      <w:pPr>
        <w:pStyle w:val="Reference"/>
        <w:numPr>
          <w:ilvl w:val="0"/>
          <w:numId w:val="2"/>
        </w:numPr>
        <w:spacing w:before="120" w:after="120"/>
        <w:ind w:left="426" w:right="0" w:hanging="426"/>
        <w:jc w:val="both"/>
        <w:rPr>
          <w:rFonts w:ascii="Arial" w:hAnsi="Arial"/>
          <w:kern w:val="0"/>
          <w:sz w:val="20"/>
          <w:szCs w:val="20"/>
          <w:lang w:val="en-US"/>
        </w:rPr>
      </w:pPr>
      <w:r w:rsidRPr="00AB741D">
        <w:rPr>
          <w:rFonts w:ascii="Arial" w:hAnsi="Arial"/>
          <w:lang w:val="en-US"/>
        </w:rPr>
        <w:lastRenderedPageBreak/>
        <w:t>R2-1903639, Discussion on support of simultaneous mode 1 and mode 2,vivo, RAN2#105Bis</w:t>
      </w:r>
      <w:bookmarkEnd w:id="7"/>
    </w:p>
    <w:sectPr w:rsidR="005212DA" w:rsidRPr="00AB741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BB2B0" w14:textId="77777777" w:rsidR="00A60EAF" w:rsidRDefault="00A60EAF" w:rsidP="003B1415">
      <w:pPr>
        <w:spacing w:after="0"/>
      </w:pPr>
      <w:r>
        <w:separator/>
      </w:r>
    </w:p>
  </w:endnote>
  <w:endnote w:type="continuationSeparator" w:id="0">
    <w:p w14:paraId="343AF5ED" w14:textId="77777777" w:rsidR="00A60EAF" w:rsidRDefault="00A60EAF"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B6E9AA" w14:textId="77777777" w:rsidR="00A60EAF" w:rsidRDefault="00A60EAF" w:rsidP="003B1415">
      <w:pPr>
        <w:spacing w:after="0"/>
      </w:pPr>
      <w:r>
        <w:separator/>
      </w:r>
    </w:p>
  </w:footnote>
  <w:footnote w:type="continuationSeparator" w:id="0">
    <w:p w14:paraId="0C1FE800" w14:textId="77777777" w:rsidR="00A60EAF" w:rsidRDefault="00A60EAF"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F5716"/>
    <w:multiLevelType w:val="hybridMultilevel"/>
    <w:tmpl w:val="537AE25E"/>
    <w:lvl w:ilvl="0" w:tplc="739A544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C58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27447"/>
    <w:multiLevelType w:val="hybridMultilevel"/>
    <w:tmpl w:val="E0525F90"/>
    <w:lvl w:ilvl="0" w:tplc="6A1AFD6C">
      <w:start w:val="3"/>
      <w:numFmt w:val="bullet"/>
      <w:lvlText w:val="-"/>
      <w:lvlJc w:val="left"/>
      <w:pPr>
        <w:ind w:left="720" w:hanging="360"/>
      </w:pPr>
      <w:rPr>
        <w:rFonts w:ascii="Arial" w:eastAsia="Malgun Gothic" w:hAnsi="Arial" w:cs="Aria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145AD"/>
    <w:multiLevelType w:val="hybridMultilevel"/>
    <w:tmpl w:val="3A5A0CAC"/>
    <w:lvl w:ilvl="0" w:tplc="23086D3C">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4710C3"/>
    <w:multiLevelType w:val="hybridMultilevel"/>
    <w:tmpl w:val="8DC40800"/>
    <w:lvl w:ilvl="0" w:tplc="341215F8">
      <w:start w:val="1"/>
      <w:numFmt w:val="bullet"/>
      <w:lvlText w:val="▪"/>
      <w:lvlJc w:val="left"/>
      <w:pPr>
        <w:tabs>
          <w:tab w:val="num" w:pos="720"/>
        </w:tabs>
        <w:ind w:left="720" w:hanging="360"/>
      </w:pPr>
      <w:rPr>
        <w:rFonts w:ascii="Lucida Grande" w:hAnsi="Lucida Grande" w:hint="default"/>
      </w:rPr>
    </w:lvl>
    <w:lvl w:ilvl="1" w:tplc="2E6A00C0" w:tentative="1">
      <w:start w:val="1"/>
      <w:numFmt w:val="bullet"/>
      <w:lvlText w:val="▪"/>
      <w:lvlJc w:val="left"/>
      <w:pPr>
        <w:tabs>
          <w:tab w:val="num" w:pos="1440"/>
        </w:tabs>
        <w:ind w:left="1440" w:hanging="360"/>
      </w:pPr>
      <w:rPr>
        <w:rFonts w:ascii="Lucida Grande" w:hAnsi="Lucida Grande" w:hint="default"/>
      </w:rPr>
    </w:lvl>
    <w:lvl w:ilvl="2" w:tplc="12CA3808" w:tentative="1">
      <w:start w:val="1"/>
      <w:numFmt w:val="bullet"/>
      <w:lvlText w:val="▪"/>
      <w:lvlJc w:val="left"/>
      <w:pPr>
        <w:tabs>
          <w:tab w:val="num" w:pos="2160"/>
        </w:tabs>
        <w:ind w:left="2160" w:hanging="360"/>
      </w:pPr>
      <w:rPr>
        <w:rFonts w:ascii="Lucida Grande" w:hAnsi="Lucida Grande" w:hint="default"/>
      </w:rPr>
    </w:lvl>
    <w:lvl w:ilvl="3" w:tplc="ED625D24" w:tentative="1">
      <w:start w:val="1"/>
      <w:numFmt w:val="bullet"/>
      <w:lvlText w:val="▪"/>
      <w:lvlJc w:val="left"/>
      <w:pPr>
        <w:tabs>
          <w:tab w:val="num" w:pos="2880"/>
        </w:tabs>
        <w:ind w:left="2880" w:hanging="360"/>
      </w:pPr>
      <w:rPr>
        <w:rFonts w:ascii="Lucida Grande" w:hAnsi="Lucida Grande" w:hint="default"/>
      </w:rPr>
    </w:lvl>
    <w:lvl w:ilvl="4" w:tplc="A5702968" w:tentative="1">
      <w:start w:val="1"/>
      <w:numFmt w:val="bullet"/>
      <w:lvlText w:val="▪"/>
      <w:lvlJc w:val="left"/>
      <w:pPr>
        <w:tabs>
          <w:tab w:val="num" w:pos="3600"/>
        </w:tabs>
        <w:ind w:left="3600" w:hanging="360"/>
      </w:pPr>
      <w:rPr>
        <w:rFonts w:ascii="Lucida Grande" w:hAnsi="Lucida Grande" w:hint="default"/>
      </w:rPr>
    </w:lvl>
    <w:lvl w:ilvl="5" w:tplc="F0627CCC" w:tentative="1">
      <w:start w:val="1"/>
      <w:numFmt w:val="bullet"/>
      <w:lvlText w:val="▪"/>
      <w:lvlJc w:val="left"/>
      <w:pPr>
        <w:tabs>
          <w:tab w:val="num" w:pos="4320"/>
        </w:tabs>
        <w:ind w:left="4320" w:hanging="360"/>
      </w:pPr>
      <w:rPr>
        <w:rFonts w:ascii="Lucida Grande" w:hAnsi="Lucida Grande" w:hint="default"/>
      </w:rPr>
    </w:lvl>
    <w:lvl w:ilvl="6" w:tplc="198A41B4" w:tentative="1">
      <w:start w:val="1"/>
      <w:numFmt w:val="bullet"/>
      <w:lvlText w:val="▪"/>
      <w:lvlJc w:val="left"/>
      <w:pPr>
        <w:tabs>
          <w:tab w:val="num" w:pos="5040"/>
        </w:tabs>
        <w:ind w:left="5040" w:hanging="360"/>
      </w:pPr>
      <w:rPr>
        <w:rFonts w:ascii="Lucida Grande" w:hAnsi="Lucida Grande" w:hint="default"/>
      </w:rPr>
    </w:lvl>
    <w:lvl w:ilvl="7" w:tplc="F2DC67F8" w:tentative="1">
      <w:start w:val="1"/>
      <w:numFmt w:val="bullet"/>
      <w:lvlText w:val="▪"/>
      <w:lvlJc w:val="left"/>
      <w:pPr>
        <w:tabs>
          <w:tab w:val="num" w:pos="5760"/>
        </w:tabs>
        <w:ind w:left="5760" w:hanging="360"/>
      </w:pPr>
      <w:rPr>
        <w:rFonts w:ascii="Lucida Grande" w:hAnsi="Lucida Grande" w:hint="default"/>
      </w:rPr>
    </w:lvl>
    <w:lvl w:ilvl="8" w:tplc="275C683C"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FE3602"/>
    <w:multiLevelType w:val="hybridMultilevel"/>
    <w:tmpl w:val="50F436B6"/>
    <w:lvl w:ilvl="0" w:tplc="763C7E5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B750F0F"/>
    <w:multiLevelType w:val="hybridMultilevel"/>
    <w:tmpl w:val="4300E36E"/>
    <w:lvl w:ilvl="0" w:tplc="0592070A">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8"/>
  </w:num>
  <w:num w:numId="4">
    <w:abstractNumId w:val="3"/>
  </w:num>
  <w:num w:numId="5">
    <w:abstractNumId w:val="13"/>
  </w:num>
  <w:num w:numId="6">
    <w:abstractNumId w:val="14"/>
  </w:num>
  <w:num w:numId="7">
    <w:abstractNumId w:val="2"/>
  </w:num>
  <w:num w:numId="8">
    <w:abstractNumId w:val="11"/>
  </w:num>
  <w:num w:numId="9">
    <w:abstractNumId w:val="15"/>
  </w:num>
  <w:num w:numId="10">
    <w:abstractNumId w:val="10"/>
  </w:num>
  <w:num w:numId="11">
    <w:abstractNumId w:val="6"/>
  </w:num>
  <w:num w:numId="12">
    <w:abstractNumId w:val="1"/>
  </w:num>
  <w:num w:numId="13">
    <w:abstractNumId w:val="4"/>
  </w:num>
  <w:num w:numId="14">
    <w:abstractNumId w:val="7"/>
  </w:num>
  <w:num w:numId="15">
    <w:abstractNumId w:val="5"/>
  </w:num>
  <w:num w:numId="1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3F74"/>
    <w:rsid w:val="00004026"/>
    <w:rsid w:val="0000577C"/>
    <w:rsid w:val="00012FAB"/>
    <w:rsid w:val="000228C0"/>
    <w:rsid w:val="00024575"/>
    <w:rsid w:val="0002470C"/>
    <w:rsid w:val="00027644"/>
    <w:rsid w:val="0003538E"/>
    <w:rsid w:val="00042F66"/>
    <w:rsid w:val="00044969"/>
    <w:rsid w:val="00046764"/>
    <w:rsid w:val="00052276"/>
    <w:rsid w:val="00053B43"/>
    <w:rsid w:val="00056885"/>
    <w:rsid w:val="00057625"/>
    <w:rsid w:val="000600E9"/>
    <w:rsid w:val="00071FE7"/>
    <w:rsid w:val="000820E2"/>
    <w:rsid w:val="00082376"/>
    <w:rsid w:val="00083CBD"/>
    <w:rsid w:val="0009091C"/>
    <w:rsid w:val="0009164C"/>
    <w:rsid w:val="000934EA"/>
    <w:rsid w:val="000A7EA5"/>
    <w:rsid w:val="000B23E2"/>
    <w:rsid w:val="000C030C"/>
    <w:rsid w:val="000C2E2B"/>
    <w:rsid w:val="000C313D"/>
    <w:rsid w:val="000C3F46"/>
    <w:rsid w:val="000C625B"/>
    <w:rsid w:val="000C638E"/>
    <w:rsid w:val="000D04E2"/>
    <w:rsid w:val="000D4D90"/>
    <w:rsid w:val="000D54F2"/>
    <w:rsid w:val="000E2754"/>
    <w:rsid w:val="000E6946"/>
    <w:rsid w:val="000F026E"/>
    <w:rsid w:val="000F084C"/>
    <w:rsid w:val="000F2C19"/>
    <w:rsid w:val="000F39DD"/>
    <w:rsid w:val="000F4C39"/>
    <w:rsid w:val="000F7DA9"/>
    <w:rsid w:val="001216B8"/>
    <w:rsid w:val="00132BF2"/>
    <w:rsid w:val="001344BD"/>
    <w:rsid w:val="001421CE"/>
    <w:rsid w:val="0014570C"/>
    <w:rsid w:val="00150B17"/>
    <w:rsid w:val="00151FB1"/>
    <w:rsid w:val="00167CA6"/>
    <w:rsid w:val="00170304"/>
    <w:rsid w:val="001722FE"/>
    <w:rsid w:val="00174418"/>
    <w:rsid w:val="00174A43"/>
    <w:rsid w:val="00175A59"/>
    <w:rsid w:val="00177ED6"/>
    <w:rsid w:val="001843AD"/>
    <w:rsid w:val="001A45CD"/>
    <w:rsid w:val="001A539F"/>
    <w:rsid w:val="001B03FF"/>
    <w:rsid w:val="001B3DBD"/>
    <w:rsid w:val="001C6813"/>
    <w:rsid w:val="001C7C84"/>
    <w:rsid w:val="001D2982"/>
    <w:rsid w:val="001E0F6E"/>
    <w:rsid w:val="001E2964"/>
    <w:rsid w:val="001E29E8"/>
    <w:rsid w:val="001E4063"/>
    <w:rsid w:val="001E5A61"/>
    <w:rsid w:val="001E5A64"/>
    <w:rsid w:val="001E6F77"/>
    <w:rsid w:val="001F05FE"/>
    <w:rsid w:val="001F2211"/>
    <w:rsid w:val="001F71B5"/>
    <w:rsid w:val="001F75A2"/>
    <w:rsid w:val="00205DB9"/>
    <w:rsid w:val="00206659"/>
    <w:rsid w:val="00211E9A"/>
    <w:rsid w:val="0021439A"/>
    <w:rsid w:val="00215321"/>
    <w:rsid w:val="00221F33"/>
    <w:rsid w:val="00222635"/>
    <w:rsid w:val="0022589A"/>
    <w:rsid w:val="0023001D"/>
    <w:rsid w:val="00231500"/>
    <w:rsid w:val="00233563"/>
    <w:rsid w:val="002342F1"/>
    <w:rsid w:val="00242B40"/>
    <w:rsid w:val="00243604"/>
    <w:rsid w:val="00244B46"/>
    <w:rsid w:val="00246ACB"/>
    <w:rsid w:val="00247A7D"/>
    <w:rsid w:val="00252BA7"/>
    <w:rsid w:val="00256029"/>
    <w:rsid w:val="002561DD"/>
    <w:rsid w:val="00256E49"/>
    <w:rsid w:val="002673FF"/>
    <w:rsid w:val="002679BA"/>
    <w:rsid w:val="00267BCD"/>
    <w:rsid w:val="00270CA0"/>
    <w:rsid w:val="002725A6"/>
    <w:rsid w:val="00276565"/>
    <w:rsid w:val="00280824"/>
    <w:rsid w:val="002832E1"/>
    <w:rsid w:val="00293910"/>
    <w:rsid w:val="00296ED2"/>
    <w:rsid w:val="002979E0"/>
    <w:rsid w:val="002B0C42"/>
    <w:rsid w:val="002B158E"/>
    <w:rsid w:val="002B5022"/>
    <w:rsid w:val="002C0A49"/>
    <w:rsid w:val="002E107C"/>
    <w:rsid w:val="002E1660"/>
    <w:rsid w:val="002E2177"/>
    <w:rsid w:val="002E3D3B"/>
    <w:rsid w:val="002E51A0"/>
    <w:rsid w:val="002E725C"/>
    <w:rsid w:val="002F3FF4"/>
    <w:rsid w:val="002F48B2"/>
    <w:rsid w:val="002F78CC"/>
    <w:rsid w:val="00307C75"/>
    <w:rsid w:val="00307FB5"/>
    <w:rsid w:val="003136E1"/>
    <w:rsid w:val="00313FAC"/>
    <w:rsid w:val="003174AC"/>
    <w:rsid w:val="00317FA5"/>
    <w:rsid w:val="00322BB7"/>
    <w:rsid w:val="00322FC1"/>
    <w:rsid w:val="003231BD"/>
    <w:rsid w:val="0033057C"/>
    <w:rsid w:val="003307C6"/>
    <w:rsid w:val="00334CE1"/>
    <w:rsid w:val="00347CE8"/>
    <w:rsid w:val="003500EF"/>
    <w:rsid w:val="003512FA"/>
    <w:rsid w:val="00351A33"/>
    <w:rsid w:val="00353DE6"/>
    <w:rsid w:val="003549EA"/>
    <w:rsid w:val="003604D7"/>
    <w:rsid w:val="00362287"/>
    <w:rsid w:val="00362368"/>
    <w:rsid w:val="00370D24"/>
    <w:rsid w:val="00372440"/>
    <w:rsid w:val="00375043"/>
    <w:rsid w:val="00377434"/>
    <w:rsid w:val="0038183B"/>
    <w:rsid w:val="00381B5C"/>
    <w:rsid w:val="003849DF"/>
    <w:rsid w:val="00394387"/>
    <w:rsid w:val="00395162"/>
    <w:rsid w:val="003A173F"/>
    <w:rsid w:val="003A4068"/>
    <w:rsid w:val="003A66C7"/>
    <w:rsid w:val="003A7193"/>
    <w:rsid w:val="003A7381"/>
    <w:rsid w:val="003B1415"/>
    <w:rsid w:val="003B5ABA"/>
    <w:rsid w:val="003C1164"/>
    <w:rsid w:val="003C2E5E"/>
    <w:rsid w:val="003C4FF6"/>
    <w:rsid w:val="003D1B4C"/>
    <w:rsid w:val="003D365A"/>
    <w:rsid w:val="003E5283"/>
    <w:rsid w:val="003F7BE2"/>
    <w:rsid w:val="004030AF"/>
    <w:rsid w:val="00405C0C"/>
    <w:rsid w:val="004060CA"/>
    <w:rsid w:val="00410AB8"/>
    <w:rsid w:val="00412D9E"/>
    <w:rsid w:val="0041463F"/>
    <w:rsid w:val="00415A13"/>
    <w:rsid w:val="00416463"/>
    <w:rsid w:val="00420CEF"/>
    <w:rsid w:val="00425471"/>
    <w:rsid w:val="00426951"/>
    <w:rsid w:val="00426D48"/>
    <w:rsid w:val="004276CA"/>
    <w:rsid w:val="00430638"/>
    <w:rsid w:val="00430DAE"/>
    <w:rsid w:val="0043292A"/>
    <w:rsid w:val="00435B80"/>
    <w:rsid w:val="00447570"/>
    <w:rsid w:val="0044787B"/>
    <w:rsid w:val="00457C69"/>
    <w:rsid w:val="0046346C"/>
    <w:rsid w:val="004644B2"/>
    <w:rsid w:val="00466AE5"/>
    <w:rsid w:val="0046701F"/>
    <w:rsid w:val="00473B24"/>
    <w:rsid w:val="00474CA5"/>
    <w:rsid w:val="00481B55"/>
    <w:rsid w:val="0049354A"/>
    <w:rsid w:val="004B047B"/>
    <w:rsid w:val="004B1785"/>
    <w:rsid w:val="004B621D"/>
    <w:rsid w:val="004C09FB"/>
    <w:rsid w:val="004C192A"/>
    <w:rsid w:val="004C507A"/>
    <w:rsid w:val="004D2209"/>
    <w:rsid w:val="004D7993"/>
    <w:rsid w:val="004E02A9"/>
    <w:rsid w:val="004E5A08"/>
    <w:rsid w:val="004F1C7E"/>
    <w:rsid w:val="00501739"/>
    <w:rsid w:val="00505C53"/>
    <w:rsid w:val="00515F49"/>
    <w:rsid w:val="005212DA"/>
    <w:rsid w:val="005226C4"/>
    <w:rsid w:val="00522C18"/>
    <w:rsid w:val="00525403"/>
    <w:rsid w:val="00530FCB"/>
    <w:rsid w:val="00537A77"/>
    <w:rsid w:val="00537BC3"/>
    <w:rsid w:val="0054795F"/>
    <w:rsid w:val="00553B37"/>
    <w:rsid w:val="0055418D"/>
    <w:rsid w:val="00554EDC"/>
    <w:rsid w:val="005613B4"/>
    <w:rsid w:val="00566FB9"/>
    <w:rsid w:val="005700A4"/>
    <w:rsid w:val="00571F39"/>
    <w:rsid w:val="00576AB4"/>
    <w:rsid w:val="00577288"/>
    <w:rsid w:val="00580534"/>
    <w:rsid w:val="00582033"/>
    <w:rsid w:val="00586274"/>
    <w:rsid w:val="005941F9"/>
    <w:rsid w:val="00594EC6"/>
    <w:rsid w:val="005956E7"/>
    <w:rsid w:val="005A0558"/>
    <w:rsid w:val="005A2E06"/>
    <w:rsid w:val="005A46A0"/>
    <w:rsid w:val="005A5D52"/>
    <w:rsid w:val="005B01F0"/>
    <w:rsid w:val="005B0229"/>
    <w:rsid w:val="005B5C10"/>
    <w:rsid w:val="005C28BB"/>
    <w:rsid w:val="005E49C7"/>
    <w:rsid w:val="005F2932"/>
    <w:rsid w:val="005F3FAC"/>
    <w:rsid w:val="00601EB5"/>
    <w:rsid w:val="006020FD"/>
    <w:rsid w:val="0060370A"/>
    <w:rsid w:val="00610303"/>
    <w:rsid w:val="006115D1"/>
    <w:rsid w:val="00611810"/>
    <w:rsid w:val="00611EF5"/>
    <w:rsid w:val="00620082"/>
    <w:rsid w:val="0062332B"/>
    <w:rsid w:val="006255ED"/>
    <w:rsid w:val="00626518"/>
    <w:rsid w:val="006316CA"/>
    <w:rsid w:val="006333E2"/>
    <w:rsid w:val="0063582B"/>
    <w:rsid w:val="006369E7"/>
    <w:rsid w:val="00637188"/>
    <w:rsid w:val="00637CC7"/>
    <w:rsid w:val="00642F89"/>
    <w:rsid w:val="00644563"/>
    <w:rsid w:val="00646ED2"/>
    <w:rsid w:val="00653DF9"/>
    <w:rsid w:val="00656CC6"/>
    <w:rsid w:val="00656DE1"/>
    <w:rsid w:val="00661021"/>
    <w:rsid w:val="0066209F"/>
    <w:rsid w:val="00663A98"/>
    <w:rsid w:val="00663FA5"/>
    <w:rsid w:val="00667092"/>
    <w:rsid w:val="00670117"/>
    <w:rsid w:val="0067697C"/>
    <w:rsid w:val="00684CA8"/>
    <w:rsid w:val="00685CA1"/>
    <w:rsid w:val="00691E5A"/>
    <w:rsid w:val="006A13E3"/>
    <w:rsid w:val="006A335D"/>
    <w:rsid w:val="006A4355"/>
    <w:rsid w:val="006A65DA"/>
    <w:rsid w:val="006B0A48"/>
    <w:rsid w:val="006B140F"/>
    <w:rsid w:val="006C04AB"/>
    <w:rsid w:val="006C1623"/>
    <w:rsid w:val="006D07C4"/>
    <w:rsid w:val="006D3B4A"/>
    <w:rsid w:val="006D5148"/>
    <w:rsid w:val="006D57C8"/>
    <w:rsid w:val="006D5A4B"/>
    <w:rsid w:val="006D60C4"/>
    <w:rsid w:val="006E2668"/>
    <w:rsid w:val="006E7D64"/>
    <w:rsid w:val="006F0EBF"/>
    <w:rsid w:val="006F1494"/>
    <w:rsid w:val="006F2CD8"/>
    <w:rsid w:val="006F3E09"/>
    <w:rsid w:val="006F5344"/>
    <w:rsid w:val="006F5A02"/>
    <w:rsid w:val="00706C34"/>
    <w:rsid w:val="00720F35"/>
    <w:rsid w:val="0072213C"/>
    <w:rsid w:val="0072350B"/>
    <w:rsid w:val="007244C2"/>
    <w:rsid w:val="00724B25"/>
    <w:rsid w:val="00724B9A"/>
    <w:rsid w:val="00727AEE"/>
    <w:rsid w:val="00730070"/>
    <w:rsid w:val="00730DE1"/>
    <w:rsid w:val="0073420C"/>
    <w:rsid w:val="0073583B"/>
    <w:rsid w:val="00735E01"/>
    <w:rsid w:val="00737B35"/>
    <w:rsid w:val="00742041"/>
    <w:rsid w:val="007449F2"/>
    <w:rsid w:val="00746DF7"/>
    <w:rsid w:val="00750E97"/>
    <w:rsid w:val="00754D51"/>
    <w:rsid w:val="00767AFC"/>
    <w:rsid w:val="007718CC"/>
    <w:rsid w:val="007720D5"/>
    <w:rsid w:val="007735E4"/>
    <w:rsid w:val="00775D3D"/>
    <w:rsid w:val="00776935"/>
    <w:rsid w:val="00781D30"/>
    <w:rsid w:val="0078706C"/>
    <w:rsid w:val="00792C74"/>
    <w:rsid w:val="00797FAD"/>
    <w:rsid w:val="007A286D"/>
    <w:rsid w:val="007B1020"/>
    <w:rsid w:val="007B35FF"/>
    <w:rsid w:val="007C2FB0"/>
    <w:rsid w:val="007C3B10"/>
    <w:rsid w:val="007C6482"/>
    <w:rsid w:val="007D1769"/>
    <w:rsid w:val="007D5EE7"/>
    <w:rsid w:val="007E2B75"/>
    <w:rsid w:val="007E30A2"/>
    <w:rsid w:val="007E6F51"/>
    <w:rsid w:val="007F2D17"/>
    <w:rsid w:val="00801CCC"/>
    <w:rsid w:val="00802BE0"/>
    <w:rsid w:val="00802F6C"/>
    <w:rsid w:val="00803E0A"/>
    <w:rsid w:val="00806F0C"/>
    <w:rsid w:val="00812172"/>
    <w:rsid w:val="0081466C"/>
    <w:rsid w:val="00817A56"/>
    <w:rsid w:val="008217B7"/>
    <w:rsid w:val="00824057"/>
    <w:rsid w:val="0083000A"/>
    <w:rsid w:val="00832EB6"/>
    <w:rsid w:val="00832FDD"/>
    <w:rsid w:val="00836427"/>
    <w:rsid w:val="0083674A"/>
    <w:rsid w:val="008378EF"/>
    <w:rsid w:val="008416C4"/>
    <w:rsid w:val="008449ED"/>
    <w:rsid w:val="0084649C"/>
    <w:rsid w:val="00846C32"/>
    <w:rsid w:val="008470AB"/>
    <w:rsid w:val="008539EF"/>
    <w:rsid w:val="00854125"/>
    <w:rsid w:val="008553CE"/>
    <w:rsid w:val="008571CE"/>
    <w:rsid w:val="008605F9"/>
    <w:rsid w:val="00861035"/>
    <w:rsid w:val="008635F5"/>
    <w:rsid w:val="00863C0C"/>
    <w:rsid w:val="008652E3"/>
    <w:rsid w:val="00873F66"/>
    <w:rsid w:val="0088075E"/>
    <w:rsid w:val="0089166B"/>
    <w:rsid w:val="00891A23"/>
    <w:rsid w:val="00895B62"/>
    <w:rsid w:val="008A3DCB"/>
    <w:rsid w:val="008A6BE6"/>
    <w:rsid w:val="008B49E2"/>
    <w:rsid w:val="008B77AB"/>
    <w:rsid w:val="008C310A"/>
    <w:rsid w:val="008C4471"/>
    <w:rsid w:val="008C5611"/>
    <w:rsid w:val="008D51CA"/>
    <w:rsid w:val="008D59D2"/>
    <w:rsid w:val="008E1577"/>
    <w:rsid w:val="008E21AC"/>
    <w:rsid w:val="008F39BE"/>
    <w:rsid w:val="008F3CB4"/>
    <w:rsid w:val="0090090C"/>
    <w:rsid w:val="009015AA"/>
    <w:rsid w:val="009103E4"/>
    <w:rsid w:val="00912342"/>
    <w:rsid w:val="00912FEE"/>
    <w:rsid w:val="009168AF"/>
    <w:rsid w:val="009174AD"/>
    <w:rsid w:val="0091790B"/>
    <w:rsid w:val="009211F5"/>
    <w:rsid w:val="00922AAB"/>
    <w:rsid w:val="009259D4"/>
    <w:rsid w:val="00927784"/>
    <w:rsid w:val="009300A9"/>
    <w:rsid w:val="00937FDA"/>
    <w:rsid w:val="009416BC"/>
    <w:rsid w:val="00945BA3"/>
    <w:rsid w:val="00945D94"/>
    <w:rsid w:val="00945E75"/>
    <w:rsid w:val="009460A4"/>
    <w:rsid w:val="00951F65"/>
    <w:rsid w:val="00952B1F"/>
    <w:rsid w:val="00955724"/>
    <w:rsid w:val="00955740"/>
    <w:rsid w:val="00963742"/>
    <w:rsid w:val="00983562"/>
    <w:rsid w:val="00985601"/>
    <w:rsid w:val="00992D0B"/>
    <w:rsid w:val="009936B9"/>
    <w:rsid w:val="00994E27"/>
    <w:rsid w:val="009B20D6"/>
    <w:rsid w:val="009B3891"/>
    <w:rsid w:val="009B6AC2"/>
    <w:rsid w:val="009C02E2"/>
    <w:rsid w:val="009C43B4"/>
    <w:rsid w:val="009C494B"/>
    <w:rsid w:val="009C7DA1"/>
    <w:rsid w:val="009D239C"/>
    <w:rsid w:val="009D3FC3"/>
    <w:rsid w:val="009E08F6"/>
    <w:rsid w:val="009E3081"/>
    <w:rsid w:val="009E7274"/>
    <w:rsid w:val="009E77C0"/>
    <w:rsid w:val="009F3B40"/>
    <w:rsid w:val="009F44E1"/>
    <w:rsid w:val="00A0027D"/>
    <w:rsid w:val="00A00D9C"/>
    <w:rsid w:val="00A017FC"/>
    <w:rsid w:val="00A02E3B"/>
    <w:rsid w:val="00A07140"/>
    <w:rsid w:val="00A16C1D"/>
    <w:rsid w:val="00A17C92"/>
    <w:rsid w:val="00A21E93"/>
    <w:rsid w:val="00A27D6E"/>
    <w:rsid w:val="00A301B4"/>
    <w:rsid w:val="00A3288E"/>
    <w:rsid w:val="00A33434"/>
    <w:rsid w:val="00A340C7"/>
    <w:rsid w:val="00A4193B"/>
    <w:rsid w:val="00A424DB"/>
    <w:rsid w:val="00A424DE"/>
    <w:rsid w:val="00A44EF6"/>
    <w:rsid w:val="00A470FB"/>
    <w:rsid w:val="00A54750"/>
    <w:rsid w:val="00A577D4"/>
    <w:rsid w:val="00A608C9"/>
    <w:rsid w:val="00A60EAF"/>
    <w:rsid w:val="00A6161C"/>
    <w:rsid w:val="00A63B1D"/>
    <w:rsid w:val="00A63F4F"/>
    <w:rsid w:val="00A66442"/>
    <w:rsid w:val="00A703CF"/>
    <w:rsid w:val="00A77D76"/>
    <w:rsid w:val="00A80C45"/>
    <w:rsid w:val="00A84A38"/>
    <w:rsid w:val="00A959F3"/>
    <w:rsid w:val="00A95FF4"/>
    <w:rsid w:val="00AA08E4"/>
    <w:rsid w:val="00AA21BE"/>
    <w:rsid w:val="00AA31D9"/>
    <w:rsid w:val="00AA3FA4"/>
    <w:rsid w:val="00AA6B0B"/>
    <w:rsid w:val="00AB042B"/>
    <w:rsid w:val="00AB1099"/>
    <w:rsid w:val="00AB4EC4"/>
    <w:rsid w:val="00AB5A0C"/>
    <w:rsid w:val="00AB5CBE"/>
    <w:rsid w:val="00AB6525"/>
    <w:rsid w:val="00AB69B7"/>
    <w:rsid w:val="00AB6E5E"/>
    <w:rsid w:val="00AB741D"/>
    <w:rsid w:val="00AB7F9C"/>
    <w:rsid w:val="00AC0AB9"/>
    <w:rsid w:val="00AC131F"/>
    <w:rsid w:val="00AC1526"/>
    <w:rsid w:val="00AC3ADE"/>
    <w:rsid w:val="00AC6DCB"/>
    <w:rsid w:val="00AD3B15"/>
    <w:rsid w:val="00AD3C3F"/>
    <w:rsid w:val="00AD6E23"/>
    <w:rsid w:val="00AE2493"/>
    <w:rsid w:val="00AE3423"/>
    <w:rsid w:val="00AF185B"/>
    <w:rsid w:val="00AF1DB5"/>
    <w:rsid w:val="00AF2887"/>
    <w:rsid w:val="00AF59BB"/>
    <w:rsid w:val="00AF7150"/>
    <w:rsid w:val="00B04CF2"/>
    <w:rsid w:val="00B04F72"/>
    <w:rsid w:val="00B079A4"/>
    <w:rsid w:val="00B149C8"/>
    <w:rsid w:val="00B14EE4"/>
    <w:rsid w:val="00B174B2"/>
    <w:rsid w:val="00B20D07"/>
    <w:rsid w:val="00B216A4"/>
    <w:rsid w:val="00B225A4"/>
    <w:rsid w:val="00B308A1"/>
    <w:rsid w:val="00B344B6"/>
    <w:rsid w:val="00B359B7"/>
    <w:rsid w:val="00B37808"/>
    <w:rsid w:val="00B4201E"/>
    <w:rsid w:val="00B45066"/>
    <w:rsid w:val="00B516F4"/>
    <w:rsid w:val="00B52322"/>
    <w:rsid w:val="00B55BBB"/>
    <w:rsid w:val="00B6004D"/>
    <w:rsid w:val="00B63DE3"/>
    <w:rsid w:val="00B67BAE"/>
    <w:rsid w:val="00B73E05"/>
    <w:rsid w:val="00B75422"/>
    <w:rsid w:val="00B77424"/>
    <w:rsid w:val="00B80F75"/>
    <w:rsid w:val="00B83A51"/>
    <w:rsid w:val="00B928E7"/>
    <w:rsid w:val="00B92BBC"/>
    <w:rsid w:val="00B95A15"/>
    <w:rsid w:val="00B97774"/>
    <w:rsid w:val="00B97D78"/>
    <w:rsid w:val="00BA0A88"/>
    <w:rsid w:val="00BA5718"/>
    <w:rsid w:val="00BB4FD6"/>
    <w:rsid w:val="00BC1AF6"/>
    <w:rsid w:val="00BC2224"/>
    <w:rsid w:val="00BC5936"/>
    <w:rsid w:val="00BD02C3"/>
    <w:rsid w:val="00BD0B2F"/>
    <w:rsid w:val="00BD1973"/>
    <w:rsid w:val="00BD43B1"/>
    <w:rsid w:val="00BD613F"/>
    <w:rsid w:val="00BF7402"/>
    <w:rsid w:val="00BF7985"/>
    <w:rsid w:val="00C000BA"/>
    <w:rsid w:val="00C11DA9"/>
    <w:rsid w:val="00C121DF"/>
    <w:rsid w:val="00C13490"/>
    <w:rsid w:val="00C150E0"/>
    <w:rsid w:val="00C21B85"/>
    <w:rsid w:val="00C305F3"/>
    <w:rsid w:val="00C32EA8"/>
    <w:rsid w:val="00C40358"/>
    <w:rsid w:val="00C45D07"/>
    <w:rsid w:val="00C54C68"/>
    <w:rsid w:val="00C54FD6"/>
    <w:rsid w:val="00C55465"/>
    <w:rsid w:val="00C6227D"/>
    <w:rsid w:val="00C62831"/>
    <w:rsid w:val="00C63495"/>
    <w:rsid w:val="00C6733E"/>
    <w:rsid w:val="00C70EB6"/>
    <w:rsid w:val="00C8073A"/>
    <w:rsid w:val="00C8114D"/>
    <w:rsid w:val="00C84953"/>
    <w:rsid w:val="00C93A8C"/>
    <w:rsid w:val="00C96E26"/>
    <w:rsid w:val="00C975EB"/>
    <w:rsid w:val="00CA2160"/>
    <w:rsid w:val="00CA6308"/>
    <w:rsid w:val="00CB0F18"/>
    <w:rsid w:val="00CB3AD4"/>
    <w:rsid w:val="00CB3F9D"/>
    <w:rsid w:val="00CC0259"/>
    <w:rsid w:val="00CC27BB"/>
    <w:rsid w:val="00CC4432"/>
    <w:rsid w:val="00CC6586"/>
    <w:rsid w:val="00CC78AE"/>
    <w:rsid w:val="00CD2132"/>
    <w:rsid w:val="00CD4FF9"/>
    <w:rsid w:val="00CD6267"/>
    <w:rsid w:val="00CE391A"/>
    <w:rsid w:val="00CE6C5E"/>
    <w:rsid w:val="00CF02D4"/>
    <w:rsid w:val="00CF38CD"/>
    <w:rsid w:val="00CF3EE3"/>
    <w:rsid w:val="00D0386B"/>
    <w:rsid w:val="00D0606A"/>
    <w:rsid w:val="00D06B06"/>
    <w:rsid w:val="00D07250"/>
    <w:rsid w:val="00D11A06"/>
    <w:rsid w:val="00D16FF8"/>
    <w:rsid w:val="00D203E8"/>
    <w:rsid w:val="00D248CA"/>
    <w:rsid w:val="00D26371"/>
    <w:rsid w:val="00D315F4"/>
    <w:rsid w:val="00D3172D"/>
    <w:rsid w:val="00D33B79"/>
    <w:rsid w:val="00D33F89"/>
    <w:rsid w:val="00D36893"/>
    <w:rsid w:val="00D4027F"/>
    <w:rsid w:val="00D41A99"/>
    <w:rsid w:val="00D433FD"/>
    <w:rsid w:val="00D45384"/>
    <w:rsid w:val="00D473F4"/>
    <w:rsid w:val="00D53224"/>
    <w:rsid w:val="00D553D9"/>
    <w:rsid w:val="00D555AD"/>
    <w:rsid w:val="00D562D0"/>
    <w:rsid w:val="00D63C9C"/>
    <w:rsid w:val="00D64BD1"/>
    <w:rsid w:val="00D66506"/>
    <w:rsid w:val="00D67FC6"/>
    <w:rsid w:val="00D7404D"/>
    <w:rsid w:val="00D813E6"/>
    <w:rsid w:val="00D84D69"/>
    <w:rsid w:val="00D9387E"/>
    <w:rsid w:val="00D95AD2"/>
    <w:rsid w:val="00D96AA4"/>
    <w:rsid w:val="00D96CC3"/>
    <w:rsid w:val="00D97955"/>
    <w:rsid w:val="00D97BDA"/>
    <w:rsid w:val="00DA4A68"/>
    <w:rsid w:val="00DA4A83"/>
    <w:rsid w:val="00DA52D1"/>
    <w:rsid w:val="00DA6136"/>
    <w:rsid w:val="00DB057E"/>
    <w:rsid w:val="00DB0988"/>
    <w:rsid w:val="00DB6F1B"/>
    <w:rsid w:val="00DC0A37"/>
    <w:rsid w:val="00DC40BD"/>
    <w:rsid w:val="00DC7E02"/>
    <w:rsid w:val="00DD0BEA"/>
    <w:rsid w:val="00DD1438"/>
    <w:rsid w:val="00DD1D93"/>
    <w:rsid w:val="00DD1E84"/>
    <w:rsid w:val="00DD6BDA"/>
    <w:rsid w:val="00DE1D7C"/>
    <w:rsid w:val="00DE2C45"/>
    <w:rsid w:val="00DE4C81"/>
    <w:rsid w:val="00DE5287"/>
    <w:rsid w:val="00DF21DE"/>
    <w:rsid w:val="00DF50B8"/>
    <w:rsid w:val="00DF57C1"/>
    <w:rsid w:val="00DF7B9B"/>
    <w:rsid w:val="00E00C4C"/>
    <w:rsid w:val="00E02092"/>
    <w:rsid w:val="00E043EC"/>
    <w:rsid w:val="00E048BA"/>
    <w:rsid w:val="00E06266"/>
    <w:rsid w:val="00E0651C"/>
    <w:rsid w:val="00E1189D"/>
    <w:rsid w:val="00E170BB"/>
    <w:rsid w:val="00E20160"/>
    <w:rsid w:val="00E24D51"/>
    <w:rsid w:val="00E265D8"/>
    <w:rsid w:val="00E322C8"/>
    <w:rsid w:val="00E358A2"/>
    <w:rsid w:val="00E44184"/>
    <w:rsid w:val="00E444E5"/>
    <w:rsid w:val="00E51992"/>
    <w:rsid w:val="00E52023"/>
    <w:rsid w:val="00E56D6F"/>
    <w:rsid w:val="00E6643B"/>
    <w:rsid w:val="00E729FB"/>
    <w:rsid w:val="00E75DE8"/>
    <w:rsid w:val="00E774E6"/>
    <w:rsid w:val="00E80778"/>
    <w:rsid w:val="00E85297"/>
    <w:rsid w:val="00E868A1"/>
    <w:rsid w:val="00E86FBF"/>
    <w:rsid w:val="00E87543"/>
    <w:rsid w:val="00E91D1E"/>
    <w:rsid w:val="00E939AD"/>
    <w:rsid w:val="00E96244"/>
    <w:rsid w:val="00EA207E"/>
    <w:rsid w:val="00EA24F1"/>
    <w:rsid w:val="00EA2FD9"/>
    <w:rsid w:val="00EA5768"/>
    <w:rsid w:val="00EB0FA5"/>
    <w:rsid w:val="00EB1C6A"/>
    <w:rsid w:val="00EB78EC"/>
    <w:rsid w:val="00ED0CA8"/>
    <w:rsid w:val="00ED71A7"/>
    <w:rsid w:val="00ED7ADB"/>
    <w:rsid w:val="00EE2818"/>
    <w:rsid w:val="00EE3608"/>
    <w:rsid w:val="00EE3C95"/>
    <w:rsid w:val="00EE4B8E"/>
    <w:rsid w:val="00EE53F2"/>
    <w:rsid w:val="00EF1470"/>
    <w:rsid w:val="00EF6AF8"/>
    <w:rsid w:val="00F03A46"/>
    <w:rsid w:val="00F03AB0"/>
    <w:rsid w:val="00F06D7C"/>
    <w:rsid w:val="00F15117"/>
    <w:rsid w:val="00F260BC"/>
    <w:rsid w:val="00F33144"/>
    <w:rsid w:val="00F35C05"/>
    <w:rsid w:val="00F36AFC"/>
    <w:rsid w:val="00F371F3"/>
    <w:rsid w:val="00F41CE5"/>
    <w:rsid w:val="00F41FB1"/>
    <w:rsid w:val="00F45138"/>
    <w:rsid w:val="00F46349"/>
    <w:rsid w:val="00F515C1"/>
    <w:rsid w:val="00F5252C"/>
    <w:rsid w:val="00F6020F"/>
    <w:rsid w:val="00F6025C"/>
    <w:rsid w:val="00F6330D"/>
    <w:rsid w:val="00F7639E"/>
    <w:rsid w:val="00F83492"/>
    <w:rsid w:val="00F84089"/>
    <w:rsid w:val="00F9237C"/>
    <w:rsid w:val="00F933DB"/>
    <w:rsid w:val="00F93764"/>
    <w:rsid w:val="00F938FC"/>
    <w:rsid w:val="00F9390A"/>
    <w:rsid w:val="00F96FF9"/>
    <w:rsid w:val="00FA044B"/>
    <w:rsid w:val="00FA30A4"/>
    <w:rsid w:val="00FA4807"/>
    <w:rsid w:val="00FB089B"/>
    <w:rsid w:val="00FB3C29"/>
    <w:rsid w:val="00FB4749"/>
    <w:rsid w:val="00FB4819"/>
    <w:rsid w:val="00FB4CAB"/>
    <w:rsid w:val="00FB6798"/>
    <w:rsid w:val="00FC283A"/>
    <w:rsid w:val="00FD1ACD"/>
    <w:rsid w:val="00FD498C"/>
    <w:rsid w:val="00FE4EED"/>
    <w:rsid w:val="00FE6654"/>
    <w:rsid w:val="00FE71B6"/>
    <w:rsid w:val="00FF3F96"/>
    <w:rsid w:val="00FF40B9"/>
    <w:rsid w:val="00FF7338"/>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1"/>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441337571">
      <w:bodyDiv w:val="1"/>
      <w:marLeft w:val="0"/>
      <w:marRight w:val="0"/>
      <w:marTop w:val="0"/>
      <w:marBottom w:val="0"/>
      <w:divBdr>
        <w:top w:val="none" w:sz="0" w:space="0" w:color="auto"/>
        <w:left w:val="none" w:sz="0" w:space="0" w:color="auto"/>
        <w:bottom w:val="none" w:sz="0" w:space="0" w:color="auto"/>
        <w:right w:val="none" w:sz="0" w:space="0" w:color="auto"/>
      </w:divBdr>
      <w:divsChild>
        <w:div w:id="1233464918">
          <w:marLeft w:val="1166"/>
          <w:marRight w:val="0"/>
          <w:marTop w:val="86"/>
          <w:marBottom w:val="0"/>
          <w:divBdr>
            <w:top w:val="none" w:sz="0" w:space="0" w:color="auto"/>
            <w:left w:val="none" w:sz="0" w:space="0" w:color="auto"/>
            <w:bottom w:val="none" w:sz="0" w:space="0" w:color="auto"/>
            <w:right w:val="none" w:sz="0" w:space="0" w:color="auto"/>
          </w:divBdr>
        </w:div>
        <w:div w:id="1126850529">
          <w:marLeft w:val="1166"/>
          <w:marRight w:val="0"/>
          <w:marTop w:val="86"/>
          <w:marBottom w:val="0"/>
          <w:divBdr>
            <w:top w:val="none" w:sz="0" w:space="0" w:color="auto"/>
            <w:left w:val="none" w:sz="0" w:space="0" w:color="auto"/>
            <w:bottom w:val="none" w:sz="0" w:space="0" w:color="auto"/>
            <w:right w:val="none" w:sz="0" w:space="0" w:color="auto"/>
          </w:divBdr>
        </w:div>
        <w:div w:id="270820790">
          <w:marLeft w:val="1166"/>
          <w:marRight w:val="0"/>
          <w:marTop w:val="86"/>
          <w:marBottom w:val="0"/>
          <w:divBdr>
            <w:top w:val="none" w:sz="0" w:space="0" w:color="auto"/>
            <w:left w:val="none" w:sz="0" w:space="0" w:color="auto"/>
            <w:bottom w:val="none" w:sz="0" w:space="0" w:color="auto"/>
            <w:right w:val="none" w:sz="0" w:space="0" w:color="auto"/>
          </w:divBdr>
        </w:div>
      </w:divsChild>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497646171">
      <w:bodyDiv w:val="1"/>
      <w:marLeft w:val="0"/>
      <w:marRight w:val="0"/>
      <w:marTop w:val="0"/>
      <w:marBottom w:val="0"/>
      <w:divBdr>
        <w:top w:val="none" w:sz="0" w:space="0" w:color="auto"/>
        <w:left w:val="none" w:sz="0" w:space="0" w:color="auto"/>
        <w:bottom w:val="none" w:sz="0" w:space="0" w:color="auto"/>
        <w:right w:val="none" w:sz="0" w:space="0" w:color="auto"/>
      </w:divBdr>
      <w:divsChild>
        <w:div w:id="284046615">
          <w:marLeft w:val="547"/>
          <w:marRight w:val="0"/>
          <w:marTop w:val="106"/>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616013938">
      <w:bodyDiv w:val="1"/>
      <w:marLeft w:val="0"/>
      <w:marRight w:val="0"/>
      <w:marTop w:val="0"/>
      <w:marBottom w:val="0"/>
      <w:divBdr>
        <w:top w:val="none" w:sz="0" w:space="0" w:color="auto"/>
        <w:left w:val="none" w:sz="0" w:space="0" w:color="auto"/>
        <w:bottom w:val="none" w:sz="0" w:space="0" w:color="auto"/>
        <w:right w:val="none" w:sz="0" w:space="0" w:color="auto"/>
      </w:divBdr>
      <w:divsChild>
        <w:div w:id="790708858">
          <w:marLeft w:val="547"/>
          <w:marRight w:val="0"/>
          <w:marTop w:val="106"/>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786998019">
      <w:bodyDiv w:val="1"/>
      <w:marLeft w:val="0"/>
      <w:marRight w:val="0"/>
      <w:marTop w:val="0"/>
      <w:marBottom w:val="0"/>
      <w:divBdr>
        <w:top w:val="none" w:sz="0" w:space="0" w:color="auto"/>
        <w:left w:val="none" w:sz="0" w:space="0" w:color="auto"/>
        <w:bottom w:val="none" w:sz="0" w:space="0" w:color="auto"/>
        <w:right w:val="none" w:sz="0" w:space="0" w:color="auto"/>
      </w:divBdr>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84D7F-FCBE-4408-84E1-E9A45C622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1550</TotalTime>
  <Pages>4</Pages>
  <Words>942</Words>
  <Characters>5372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77</cp:revision>
  <dcterms:created xsi:type="dcterms:W3CDTF">2019-08-05T11:18:00Z</dcterms:created>
  <dcterms:modified xsi:type="dcterms:W3CDTF">2019-08-16T06:37:00Z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